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2CF62" w14:textId="77777777" w:rsidR="00152D4F" w:rsidRDefault="00000000">
      <w:pPr>
        <w:pStyle w:val="Heading1"/>
        <w:spacing w:before="39"/>
      </w:pPr>
      <w:r>
        <w:t>BACKGROUND</w:t>
      </w:r>
      <w:r>
        <w:rPr>
          <w:spacing w:val="-7"/>
        </w:rPr>
        <w:t xml:space="preserve"> </w:t>
      </w:r>
      <w:r>
        <w:t>INFORMATION</w:t>
      </w:r>
      <w:r>
        <w:rPr>
          <w:spacing w:val="-2"/>
        </w:rPr>
        <w:t xml:space="preserve"> </w:t>
      </w:r>
      <w:r>
        <w:t>ON</w:t>
      </w:r>
      <w:r>
        <w:rPr>
          <w:spacing w:val="1"/>
        </w:rPr>
        <w:t xml:space="preserve"> </w:t>
      </w:r>
      <w:r>
        <w:t>EARLY</w:t>
      </w:r>
      <w:r>
        <w:rPr>
          <w:spacing w:val="-3"/>
        </w:rPr>
        <w:t xml:space="preserve"> </w:t>
      </w:r>
      <w:r>
        <w:rPr>
          <w:spacing w:val="-2"/>
        </w:rPr>
        <w:t>TENURE</w:t>
      </w:r>
    </w:p>
    <w:p w14:paraId="757AD264" w14:textId="77777777" w:rsidR="00152D4F" w:rsidRDefault="00000000">
      <w:pPr>
        <w:ind w:left="1550" w:right="1550"/>
        <w:jc w:val="center"/>
        <w:rPr>
          <w:b/>
          <w:sz w:val="24"/>
        </w:rPr>
      </w:pPr>
      <w:r>
        <w:rPr>
          <w:b/>
          <w:sz w:val="24"/>
        </w:rPr>
        <w:t>Submitted</w:t>
      </w:r>
      <w:r>
        <w:rPr>
          <w:b/>
          <w:spacing w:val="-7"/>
          <w:sz w:val="24"/>
        </w:rPr>
        <w:t xml:space="preserve"> </w:t>
      </w:r>
      <w:r>
        <w:rPr>
          <w:b/>
          <w:sz w:val="24"/>
        </w:rPr>
        <w:t>by</w:t>
      </w:r>
      <w:r>
        <w:rPr>
          <w:b/>
          <w:spacing w:val="-7"/>
          <w:sz w:val="24"/>
        </w:rPr>
        <w:t xml:space="preserve"> </w:t>
      </w:r>
      <w:r>
        <w:rPr>
          <w:b/>
          <w:sz w:val="24"/>
        </w:rPr>
        <w:t>Interim</w:t>
      </w:r>
      <w:r>
        <w:rPr>
          <w:b/>
          <w:spacing w:val="-7"/>
          <w:sz w:val="24"/>
        </w:rPr>
        <w:t xml:space="preserve"> </w:t>
      </w:r>
      <w:r>
        <w:rPr>
          <w:b/>
          <w:sz w:val="24"/>
        </w:rPr>
        <w:t>University</w:t>
      </w:r>
      <w:r>
        <w:rPr>
          <w:b/>
          <w:spacing w:val="-6"/>
          <w:sz w:val="24"/>
        </w:rPr>
        <w:t xml:space="preserve"> </w:t>
      </w:r>
      <w:r>
        <w:rPr>
          <w:b/>
          <w:sz w:val="24"/>
        </w:rPr>
        <w:t>Provost</w:t>
      </w:r>
      <w:r>
        <w:rPr>
          <w:b/>
          <w:spacing w:val="-7"/>
          <w:sz w:val="24"/>
        </w:rPr>
        <w:t xml:space="preserve"> </w:t>
      </w:r>
      <w:r>
        <w:rPr>
          <w:b/>
          <w:sz w:val="24"/>
        </w:rPr>
        <w:t>Jane</w:t>
      </w:r>
      <w:r>
        <w:rPr>
          <w:b/>
          <w:spacing w:val="-7"/>
          <w:sz w:val="24"/>
        </w:rPr>
        <w:t xml:space="preserve"> </w:t>
      </w:r>
      <w:r>
        <w:rPr>
          <w:b/>
          <w:sz w:val="24"/>
        </w:rPr>
        <w:t>Bowers December 3, 2018</w:t>
      </w:r>
    </w:p>
    <w:p w14:paraId="03E646D6" w14:textId="77777777" w:rsidR="00152D4F" w:rsidRDefault="00152D4F">
      <w:pPr>
        <w:pStyle w:val="BodyText"/>
        <w:rPr>
          <w:b/>
          <w:sz w:val="24"/>
        </w:rPr>
      </w:pPr>
    </w:p>
    <w:p w14:paraId="343820A3" w14:textId="77777777" w:rsidR="00152D4F" w:rsidRDefault="00000000">
      <w:pPr>
        <w:rPr>
          <w:sz w:val="24"/>
        </w:rPr>
      </w:pPr>
      <w:r>
        <w:rPr>
          <w:sz w:val="24"/>
        </w:rPr>
        <w:t>Early</w:t>
      </w:r>
      <w:r>
        <w:rPr>
          <w:spacing w:val="-5"/>
          <w:sz w:val="24"/>
        </w:rPr>
        <w:t xml:space="preserve"> </w:t>
      </w:r>
      <w:r>
        <w:rPr>
          <w:sz w:val="24"/>
        </w:rPr>
        <w:t>tenure</w:t>
      </w:r>
      <w:r>
        <w:rPr>
          <w:spacing w:val="-2"/>
          <w:sz w:val="24"/>
        </w:rPr>
        <w:t xml:space="preserve"> </w:t>
      </w:r>
      <w:r>
        <w:rPr>
          <w:sz w:val="24"/>
        </w:rPr>
        <w:t>may</w:t>
      </w:r>
      <w:r>
        <w:rPr>
          <w:spacing w:val="-4"/>
          <w:sz w:val="24"/>
        </w:rPr>
        <w:t xml:space="preserve"> </w:t>
      </w:r>
      <w:r>
        <w:rPr>
          <w:sz w:val="24"/>
        </w:rPr>
        <w:t>be</w:t>
      </w:r>
      <w:r>
        <w:rPr>
          <w:spacing w:val="-2"/>
          <w:sz w:val="24"/>
        </w:rPr>
        <w:t xml:space="preserve"> </w:t>
      </w:r>
      <w:r>
        <w:rPr>
          <w:sz w:val="24"/>
        </w:rPr>
        <w:t>granted</w:t>
      </w:r>
      <w:r>
        <w:rPr>
          <w:spacing w:val="-3"/>
          <w:sz w:val="24"/>
        </w:rPr>
        <w:t xml:space="preserve"> </w:t>
      </w:r>
      <w:r>
        <w:rPr>
          <w:sz w:val="24"/>
        </w:rPr>
        <w:t>subject</w:t>
      </w:r>
      <w:r>
        <w:rPr>
          <w:spacing w:val="-4"/>
          <w:sz w:val="24"/>
        </w:rPr>
        <w:t xml:space="preserve"> </w:t>
      </w:r>
      <w:r>
        <w:rPr>
          <w:sz w:val="24"/>
        </w:rPr>
        <w:t>to</w:t>
      </w:r>
      <w:r>
        <w:rPr>
          <w:spacing w:val="-4"/>
          <w:sz w:val="24"/>
        </w:rPr>
        <w:t xml:space="preserve"> </w:t>
      </w:r>
      <w:r>
        <w:rPr>
          <w:sz w:val="24"/>
        </w:rPr>
        <w:t>the</w:t>
      </w:r>
      <w:r>
        <w:rPr>
          <w:spacing w:val="-1"/>
          <w:sz w:val="24"/>
        </w:rPr>
        <w:t xml:space="preserve"> </w:t>
      </w:r>
      <w:r>
        <w:rPr>
          <w:sz w:val="24"/>
        </w:rPr>
        <w:t>CUNY</w:t>
      </w:r>
      <w:r>
        <w:rPr>
          <w:spacing w:val="-6"/>
          <w:sz w:val="24"/>
        </w:rPr>
        <w:t xml:space="preserve"> </w:t>
      </w:r>
      <w:r>
        <w:rPr>
          <w:sz w:val="24"/>
        </w:rPr>
        <w:t>Bylaws,</w:t>
      </w:r>
      <w:r>
        <w:rPr>
          <w:spacing w:val="-2"/>
          <w:sz w:val="24"/>
        </w:rPr>
        <w:t xml:space="preserve"> </w:t>
      </w:r>
      <w:r>
        <w:rPr>
          <w:sz w:val="24"/>
        </w:rPr>
        <w:t>which</w:t>
      </w:r>
      <w:r>
        <w:rPr>
          <w:spacing w:val="-2"/>
          <w:sz w:val="24"/>
        </w:rPr>
        <w:t xml:space="preserve"> </w:t>
      </w:r>
      <w:r>
        <w:rPr>
          <w:sz w:val="24"/>
        </w:rPr>
        <w:t>provide</w:t>
      </w:r>
      <w:r>
        <w:rPr>
          <w:spacing w:val="-4"/>
          <w:sz w:val="24"/>
        </w:rPr>
        <w:t xml:space="preserve"> </w:t>
      </w:r>
      <w:r>
        <w:rPr>
          <w:sz w:val="24"/>
        </w:rPr>
        <w:t>in</w:t>
      </w:r>
      <w:r>
        <w:rPr>
          <w:spacing w:val="-4"/>
          <w:sz w:val="24"/>
        </w:rPr>
        <w:t xml:space="preserve"> </w:t>
      </w:r>
      <w:r>
        <w:rPr>
          <w:sz w:val="24"/>
        </w:rPr>
        <w:t>relevant</w:t>
      </w:r>
      <w:r>
        <w:rPr>
          <w:spacing w:val="-3"/>
          <w:sz w:val="24"/>
        </w:rPr>
        <w:t xml:space="preserve"> </w:t>
      </w:r>
      <w:r>
        <w:rPr>
          <w:spacing w:val="-2"/>
          <w:sz w:val="24"/>
        </w:rPr>
        <w:t>part:</w:t>
      </w:r>
    </w:p>
    <w:p w14:paraId="6848DD16" w14:textId="77777777" w:rsidR="00152D4F" w:rsidRDefault="00000000">
      <w:pPr>
        <w:spacing w:before="293"/>
        <w:ind w:left="720"/>
        <w:rPr>
          <w:i/>
          <w:sz w:val="24"/>
        </w:rPr>
      </w:pPr>
      <w:r>
        <w:rPr>
          <w:i/>
          <w:sz w:val="24"/>
        </w:rPr>
        <w:t>Appointments on or after September 1, 2006 – A person appointed to the title of professor, associate professor, or assistant professor</w:t>
      </w:r>
      <w:r>
        <w:rPr>
          <w:i/>
          <w:spacing w:val="-1"/>
          <w:sz w:val="24"/>
        </w:rPr>
        <w:t xml:space="preserve"> </w:t>
      </w:r>
      <w:r>
        <w:rPr>
          <w:i/>
          <w:sz w:val="24"/>
        </w:rPr>
        <w:t>may be granted</w:t>
      </w:r>
      <w:r>
        <w:rPr>
          <w:i/>
          <w:spacing w:val="-1"/>
          <w:sz w:val="24"/>
        </w:rPr>
        <w:t xml:space="preserve"> </w:t>
      </w:r>
      <w:r>
        <w:rPr>
          <w:i/>
          <w:sz w:val="24"/>
        </w:rPr>
        <w:t>early tenure by the board in its discretion, under these bylaws, after not less than one nor more than seven years of continuous satisfactory service on an annual salary basis, when such service is interrupted</w:t>
      </w:r>
      <w:r>
        <w:rPr>
          <w:i/>
          <w:spacing w:val="-4"/>
          <w:sz w:val="24"/>
        </w:rPr>
        <w:t xml:space="preserve"> </w:t>
      </w:r>
      <w:r>
        <w:rPr>
          <w:i/>
          <w:sz w:val="24"/>
        </w:rPr>
        <w:t>by</w:t>
      </w:r>
      <w:r>
        <w:rPr>
          <w:i/>
          <w:spacing w:val="-3"/>
          <w:sz w:val="24"/>
        </w:rPr>
        <w:t xml:space="preserve"> </w:t>
      </w:r>
      <w:r>
        <w:rPr>
          <w:i/>
          <w:sz w:val="24"/>
        </w:rPr>
        <w:t>the</w:t>
      </w:r>
      <w:r>
        <w:rPr>
          <w:i/>
          <w:spacing w:val="-2"/>
          <w:sz w:val="24"/>
        </w:rPr>
        <w:t xml:space="preserve"> </w:t>
      </w:r>
      <w:r>
        <w:rPr>
          <w:i/>
          <w:sz w:val="24"/>
        </w:rPr>
        <w:t>period</w:t>
      </w:r>
      <w:r>
        <w:rPr>
          <w:i/>
          <w:spacing w:val="-2"/>
          <w:sz w:val="24"/>
        </w:rPr>
        <w:t xml:space="preserve"> </w:t>
      </w:r>
      <w:r>
        <w:rPr>
          <w:i/>
          <w:sz w:val="24"/>
        </w:rPr>
        <w:t>of</w:t>
      </w:r>
      <w:r>
        <w:rPr>
          <w:i/>
          <w:spacing w:val="-2"/>
          <w:sz w:val="24"/>
        </w:rPr>
        <w:t xml:space="preserve"> </w:t>
      </w:r>
      <w:r>
        <w:rPr>
          <w:i/>
          <w:sz w:val="24"/>
        </w:rPr>
        <w:t>a</w:t>
      </w:r>
      <w:r>
        <w:rPr>
          <w:i/>
          <w:spacing w:val="-4"/>
          <w:sz w:val="24"/>
        </w:rPr>
        <w:t xml:space="preserve"> </w:t>
      </w:r>
      <w:r>
        <w:rPr>
          <w:i/>
          <w:sz w:val="24"/>
        </w:rPr>
        <w:t>fellowship</w:t>
      </w:r>
      <w:r>
        <w:rPr>
          <w:i/>
          <w:spacing w:val="-4"/>
          <w:sz w:val="24"/>
        </w:rPr>
        <w:t xml:space="preserve"> </w:t>
      </w:r>
      <w:r>
        <w:rPr>
          <w:i/>
          <w:sz w:val="24"/>
        </w:rPr>
        <w:t>deemed</w:t>
      </w:r>
      <w:r>
        <w:rPr>
          <w:i/>
          <w:spacing w:val="-4"/>
          <w:sz w:val="24"/>
        </w:rPr>
        <w:t xml:space="preserve"> </w:t>
      </w:r>
      <w:r>
        <w:rPr>
          <w:i/>
          <w:sz w:val="24"/>
        </w:rPr>
        <w:t>by</w:t>
      </w:r>
      <w:r>
        <w:rPr>
          <w:i/>
          <w:spacing w:val="-2"/>
          <w:sz w:val="24"/>
        </w:rPr>
        <w:t xml:space="preserve"> </w:t>
      </w:r>
      <w:r>
        <w:rPr>
          <w:i/>
          <w:sz w:val="24"/>
        </w:rPr>
        <w:t>the</w:t>
      </w:r>
      <w:r>
        <w:rPr>
          <w:i/>
          <w:spacing w:val="-2"/>
          <w:sz w:val="24"/>
        </w:rPr>
        <w:t xml:space="preserve"> </w:t>
      </w:r>
      <w:r>
        <w:rPr>
          <w:i/>
          <w:sz w:val="24"/>
        </w:rPr>
        <w:t>college</w:t>
      </w:r>
      <w:r>
        <w:rPr>
          <w:i/>
          <w:spacing w:val="-5"/>
          <w:sz w:val="24"/>
        </w:rPr>
        <w:t xml:space="preserve"> </w:t>
      </w:r>
      <w:r>
        <w:rPr>
          <w:i/>
          <w:sz w:val="24"/>
        </w:rPr>
        <w:t>valuable</w:t>
      </w:r>
      <w:r>
        <w:rPr>
          <w:i/>
          <w:spacing w:val="-2"/>
          <w:sz w:val="24"/>
        </w:rPr>
        <w:t xml:space="preserve"> </w:t>
      </w:r>
      <w:r>
        <w:rPr>
          <w:i/>
          <w:sz w:val="24"/>
        </w:rPr>
        <w:t>to</w:t>
      </w:r>
      <w:r>
        <w:rPr>
          <w:i/>
          <w:spacing w:val="-4"/>
          <w:sz w:val="24"/>
        </w:rPr>
        <w:t xml:space="preserve"> </w:t>
      </w:r>
      <w:r>
        <w:rPr>
          <w:i/>
          <w:sz w:val="24"/>
        </w:rPr>
        <w:t xml:space="preserve">it, </w:t>
      </w:r>
      <w:r>
        <w:rPr>
          <w:i/>
          <w:color w:val="000000"/>
          <w:sz w:val="24"/>
          <w:highlight w:val="yellow"/>
        </w:rPr>
        <w:t>when</w:t>
      </w:r>
      <w:r>
        <w:rPr>
          <w:i/>
          <w:color w:val="000000"/>
          <w:spacing w:val="-4"/>
          <w:sz w:val="24"/>
          <w:highlight w:val="yellow"/>
        </w:rPr>
        <w:t xml:space="preserve"> </w:t>
      </w:r>
      <w:r>
        <w:rPr>
          <w:i/>
          <w:color w:val="000000"/>
          <w:sz w:val="24"/>
          <w:highlight w:val="yellow"/>
        </w:rPr>
        <w:t>for</w:t>
      </w:r>
      <w:r>
        <w:rPr>
          <w:i/>
          <w:color w:val="000000"/>
          <w:spacing w:val="-3"/>
          <w:sz w:val="24"/>
          <w:highlight w:val="yellow"/>
        </w:rPr>
        <w:t xml:space="preserve"> </w:t>
      </w:r>
      <w:r>
        <w:rPr>
          <w:i/>
          <w:color w:val="000000"/>
          <w:sz w:val="24"/>
          <w:highlight w:val="yellow"/>
        </w:rPr>
        <w:t>a</w:t>
      </w:r>
      <w:r>
        <w:rPr>
          <w:i/>
          <w:color w:val="000000"/>
          <w:sz w:val="24"/>
        </w:rPr>
        <w:t xml:space="preserve"> </w:t>
      </w:r>
      <w:r>
        <w:rPr>
          <w:i/>
          <w:color w:val="000000"/>
          <w:sz w:val="24"/>
          <w:highlight w:val="yellow"/>
        </w:rPr>
        <w:t>very substantial reason the college would be well served by such early grant of tenure</w:t>
      </w:r>
      <w:r>
        <w:rPr>
          <w:i/>
          <w:color w:val="000000"/>
          <w:sz w:val="24"/>
        </w:rPr>
        <w:t xml:space="preserve"> or when the person has had tenure in another accredited institution of higher learning.(CUNY Bylaws, Article VI: Instructional Staff &gt; Section 6.2 Permanent Instructional Staff—Tenure)</w:t>
      </w:r>
    </w:p>
    <w:p w14:paraId="4E5686F5" w14:textId="77777777" w:rsidR="00152D4F" w:rsidRDefault="00000000">
      <w:pPr>
        <w:pStyle w:val="BodyText"/>
        <w:spacing w:before="267"/>
      </w:pPr>
      <w:r>
        <w:t>CUNY</w:t>
      </w:r>
      <w:r>
        <w:rPr>
          <w:spacing w:val="-2"/>
        </w:rPr>
        <w:t xml:space="preserve"> </w:t>
      </w:r>
      <w:r>
        <w:t>OAA</w:t>
      </w:r>
      <w:r>
        <w:rPr>
          <w:spacing w:val="-4"/>
        </w:rPr>
        <w:t xml:space="preserve"> </w:t>
      </w:r>
      <w:r>
        <w:t>takes</w:t>
      </w:r>
      <w:r>
        <w:rPr>
          <w:spacing w:val="-4"/>
        </w:rPr>
        <w:t xml:space="preserve"> </w:t>
      </w:r>
      <w:r>
        <w:t>the</w:t>
      </w:r>
      <w:r>
        <w:rPr>
          <w:spacing w:val="-4"/>
        </w:rPr>
        <w:t xml:space="preserve"> </w:t>
      </w:r>
      <w:r>
        <w:t>highlighted</w:t>
      </w:r>
      <w:r>
        <w:rPr>
          <w:spacing w:val="-3"/>
        </w:rPr>
        <w:t xml:space="preserve"> </w:t>
      </w:r>
      <w:r>
        <w:t>phrase</w:t>
      </w:r>
      <w:r>
        <w:rPr>
          <w:spacing w:val="-2"/>
        </w:rPr>
        <w:t xml:space="preserve"> </w:t>
      </w:r>
      <w:r>
        <w:t>to</w:t>
      </w:r>
      <w:r>
        <w:rPr>
          <w:spacing w:val="-3"/>
        </w:rPr>
        <w:t xml:space="preserve"> </w:t>
      </w:r>
      <w:r>
        <w:t>mean</w:t>
      </w:r>
      <w:r>
        <w:rPr>
          <w:spacing w:val="-3"/>
        </w:rPr>
        <w:t xml:space="preserve"> </w:t>
      </w:r>
      <w:r>
        <w:t>that</w:t>
      </w:r>
      <w:r>
        <w:rPr>
          <w:spacing w:val="-4"/>
        </w:rPr>
        <w:t xml:space="preserve"> </w:t>
      </w:r>
      <w:r>
        <w:t>deference</w:t>
      </w:r>
      <w:r>
        <w:rPr>
          <w:spacing w:val="-2"/>
        </w:rPr>
        <w:t xml:space="preserve"> </w:t>
      </w:r>
      <w:r>
        <w:t>should</w:t>
      </w:r>
      <w:r>
        <w:rPr>
          <w:spacing w:val="-4"/>
        </w:rPr>
        <w:t xml:space="preserve"> </w:t>
      </w:r>
      <w:r>
        <w:t>be</w:t>
      </w:r>
      <w:r>
        <w:rPr>
          <w:spacing w:val="-2"/>
        </w:rPr>
        <w:t xml:space="preserve"> </w:t>
      </w:r>
      <w:r>
        <w:t>given</w:t>
      </w:r>
      <w:r>
        <w:rPr>
          <w:spacing w:val="-4"/>
        </w:rPr>
        <w:t xml:space="preserve"> </w:t>
      </w:r>
      <w:r>
        <w:t>to</w:t>
      </w:r>
      <w:r>
        <w:rPr>
          <w:spacing w:val="-3"/>
        </w:rPr>
        <w:t xml:space="preserve"> </w:t>
      </w:r>
      <w:r>
        <w:t>the</w:t>
      </w:r>
      <w:r>
        <w:rPr>
          <w:spacing w:val="-2"/>
        </w:rPr>
        <w:t xml:space="preserve"> </w:t>
      </w:r>
      <w:r>
        <w:t>colleges</w:t>
      </w:r>
      <w:r>
        <w:rPr>
          <w:spacing w:val="-2"/>
        </w:rPr>
        <w:t xml:space="preserve"> </w:t>
      </w:r>
      <w:r>
        <w:t>to determine when they would be well served by a grant</w:t>
      </w:r>
      <w:r>
        <w:rPr>
          <w:spacing w:val="-1"/>
        </w:rPr>
        <w:t xml:space="preserve"> </w:t>
      </w:r>
      <w:r>
        <w:t>of early tenure and that early tenure is the exception rather than the rule, to be granted only for “substantial” reasons.</w:t>
      </w:r>
    </w:p>
    <w:p w14:paraId="68844968" w14:textId="77777777" w:rsidR="00152D4F" w:rsidRDefault="00152D4F">
      <w:pPr>
        <w:pStyle w:val="BodyText"/>
        <w:spacing w:before="1"/>
      </w:pPr>
    </w:p>
    <w:p w14:paraId="360103E8" w14:textId="77777777" w:rsidR="00152D4F" w:rsidRDefault="00000000">
      <w:pPr>
        <w:pStyle w:val="Heading2"/>
      </w:pPr>
      <w:r>
        <w:t>Judgment</w:t>
      </w:r>
      <w:r>
        <w:rPr>
          <w:spacing w:val="-4"/>
        </w:rPr>
        <w:t xml:space="preserve"> </w:t>
      </w:r>
      <w:r>
        <w:t>of</w:t>
      </w:r>
      <w:r>
        <w:rPr>
          <w:spacing w:val="-3"/>
        </w:rPr>
        <w:t xml:space="preserve"> </w:t>
      </w:r>
      <w:r>
        <w:t>the</w:t>
      </w:r>
      <w:r>
        <w:rPr>
          <w:spacing w:val="-5"/>
        </w:rPr>
        <w:t xml:space="preserve"> </w:t>
      </w:r>
      <w:r>
        <w:rPr>
          <w:spacing w:val="-2"/>
        </w:rPr>
        <w:t>College</w:t>
      </w:r>
    </w:p>
    <w:p w14:paraId="5FFFAF0D" w14:textId="77777777" w:rsidR="00152D4F" w:rsidRDefault="00000000">
      <w:pPr>
        <w:pStyle w:val="BodyText"/>
        <w:spacing w:before="267"/>
        <w:ind w:right="40"/>
      </w:pPr>
      <w:r>
        <w:t>A</w:t>
      </w:r>
      <w:r>
        <w:rPr>
          <w:spacing w:val="-2"/>
        </w:rPr>
        <w:t xml:space="preserve"> </w:t>
      </w:r>
      <w:r>
        <w:t>number</w:t>
      </w:r>
      <w:r>
        <w:rPr>
          <w:spacing w:val="-4"/>
        </w:rPr>
        <w:t xml:space="preserve"> </w:t>
      </w:r>
      <w:r>
        <w:t>of</w:t>
      </w:r>
      <w:r>
        <w:rPr>
          <w:spacing w:val="-4"/>
        </w:rPr>
        <w:t xml:space="preserve"> </w:t>
      </w:r>
      <w:r>
        <w:t>years</w:t>
      </w:r>
      <w:r>
        <w:rPr>
          <w:spacing w:val="-5"/>
        </w:rPr>
        <w:t xml:space="preserve"> </w:t>
      </w:r>
      <w:r>
        <w:t>ago,</w:t>
      </w:r>
      <w:r>
        <w:rPr>
          <w:spacing w:val="-5"/>
        </w:rPr>
        <w:t xml:space="preserve"> </w:t>
      </w:r>
      <w:r>
        <w:t>decision-making</w:t>
      </w:r>
      <w:r>
        <w:rPr>
          <w:spacing w:val="-2"/>
        </w:rPr>
        <w:t xml:space="preserve"> </w:t>
      </w:r>
      <w:r>
        <w:t>authority regarding</w:t>
      </w:r>
      <w:r>
        <w:rPr>
          <w:spacing w:val="-3"/>
        </w:rPr>
        <w:t xml:space="preserve"> </w:t>
      </w:r>
      <w:r>
        <w:t>faculty personnel</w:t>
      </w:r>
      <w:r>
        <w:rPr>
          <w:spacing w:val="-4"/>
        </w:rPr>
        <w:t xml:space="preserve"> </w:t>
      </w:r>
      <w:r>
        <w:t>matters</w:t>
      </w:r>
      <w:r>
        <w:rPr>
          <w:spacing w:val="-5"/>
        </w:rPr>
        <w:t xml:space="preserve"> </w:t>
      </w:r>
      <w:r>
        <w:t>was</w:t>
      </w:r>
      <w:r>
        <w:rPr>
          <w:spacing w:val="-4"/>
        </w:rPr>
        <w:t xml:space="preserve"> </w:t>
      </w:r>
      <w:r>
        <w:t>moved</w:t>
      </w:r>
      <w:r>
        <w:rPr>
          <w:spacing w:val="-2"/>
        </w:rPr>
        <w:t xml:space="preserve"> </w:t>
      </w:r>
      <w:r>
        <w:t>from OHRM to OAA in recognition of the fact that faculty worthiness for appointment, reappointment, tenure, and promotion was an academic judgment, best left to the Chief Academic Officer of the University rather than the Vice Chancellor for Human Resource Management.</w:t>
      </w:r>
    </w:p>
    <w:p w14:paraId="6EEB6268" w14:textId="77777777" w:rsidR="00152D4F" w:rsidRDefault="00152D4F">
      <w:pPr>
        <w:pStyle w:val="BodyText"/>
        <w:spacing w:before="1"/>
      </w:pPr>
    </w:p>
    <w:p w14:paraId="572B2412" w14:textId="77777777" w:rsidR="00152D4F" w:rsidRDefault="00000000">
      <w:pPr>
        <w:pStyle w:val="BodyText"/>
        <w:spacing w:before="1"/>
        <w:ind w:right="40"/>
      </w:pPr>
      <w:r>
        <w:t>Faculty personnel decisions are distinguished from staff personnel decisions by a reliance on peer evaluation.</w:t>
      </w:r>
      <w:r>
        <w:rPr>
          <w:spacing w:val="40"/>
        </w:rPr>
        <w:t xml:space="preserve"> </w:t>
      </w:r>
      <w:r>
        <w:t>The judgment of one’s peers is often dispositive in faculty appointment, tenure, and promotion.</w:t>
      </w:r>
      <w:r>
        <w:rPr>
          <w:spacing w:val="40"/>
        </w:rPr>
        <w:t xml:space="preserve"> </w:t>
      </w:r>
      <w:r>
        <w:t>This evaluation begins with the practice of scholarly journals and presses and federal funding</w:t>
      </w:r>
      <w:r>
        <w:rPr>
          <w:spacing w:val="-3"/>
        </w:rPr>
        <w:t xml:space="preserve"> </w:t>
      </w:r>
      <w:r>
        <w:t>agencies</w:t>
      </w:r>
      <w:r>
        <w:rPr>
          <w:spacing w:val="-2"/>
        </w:rPr>
        <w:t xml:space="preserve"> </w:t>
      </w:r>
      <w:r>
        <w:t>of</w:t>
      </w:r>
      <w:r>
        <w:rPr>
          <w:spacing w:val="-5"/>
        </w:rPr>
        <w:t xml:space="preserve"> </w:t>
      </w:r>
      <w:r>
        <w:t>sending</w:t>
      </w:r>
      <w:r>
        <w:rPr>
          <w:spacing w:val="-3"/>
        </w:rPr>
        <w:t xml:space="preserve"> </w:t>
      </w:r>
      <w:r>
        <w:t>manuscripts,</w:t>
      </w:r>
      <w:r>
        <w:rPr>
          <w:spacing w:val="-4"/>
        </w:rPr>
        <w:t xml:space="preserve"> </w:t>
      </w:r>
      <w:r>
        <w:t>proposals,</w:t>
      </w:r>
      <w:r>
        <w:rPr>
          <w:spacing w:val="-4"/>
        </w:rPr>
        <w:t xml:space="preserve"> </w:t>
      </w:r>
      <w:r>
        <w:t>and</w:t>
      </w:r>
      <w:r>
        <w:rPr>
          <w:spacing w:val="-3"/>
        </w:rPr>
        <w:t xml:space="preserve"> </w:t>
      </w:r>
      <w:r>
        <w:t>applications</w:t>
      </w:r>
      <w:r>
        <w:rPr>
          <w:spacing w:val="-4"/>
        </w:rPr>
        <w:t xml:space="preserve"> </w:t>
      </w:r>
      <w:r>
        <w:t>out</w:t>
      </w:r>
      <w:r>
        <w:rPr>
          <w:spacing w:val="-2"/>
        </w:rPr>
        <w:t xml:space="preserve"> </w:t>
      </w:r>
      <w:r>
        <w:t>for</w:t>
      </w:r>
      <w:r>
        <w:rPr>
          <w:spacing w:val="-2"/>
        </w:rPr>
        <w:t xml:space="preserve"> </w:t>
      </w:r>
      <w:r>
        <w:t>review</w:t>
      </w:r>
      <w:r>
        <w:rPr>
          <w:spacing w:val="-2"/>
        </w:rPr>
        <w:t xml:space="preserve"> </w:t>
      </w:r>
      <w:r>
        <w:t>by</w:t>
      </w:r>
      <w:r>
        <w:rPr>
          <w:spacing w:val="-4"/>
        </w:rPr>
        <w:t xml:space="preserve"> </w:t>
      </w:r>
      <w:r>
        <w:t>experts</w:t>
      </w:r>
      <w:r>
        <w:rPr>
          <w:spacing w:val="-2"/>
        </w:rPr>
        <w:t xml:space="preserve"> </w:t>
      </w:r>
      <w:r>
        <w:t>in</w:t>
      </w:r>
      <w:r>
        <w:rPr>
          <w:spacing w:val="-5"/>
        </w:rPr>
        <w:t xml:space="preserve"> </w:t>
      </w:r>
      <w:r>
        <w:t>the candidate’s field before making a decision to publish or fund.</w:t>
      </w:r>
      <w:r>
        <w:rPr>
          <w:spacing w:val="40"/>
        </w:rPr>
        <w:t xml:space="preserve"> </w:t>
      </w:r>
      <w:r>
        <w:t>Consequently, every candidate for promotion and tenure is expected to present a body of work that has already been peer evaluated.</w:t>
      </w:r>
    </w:p>
    <w:p w14:paraId="2D139CC8" w14:textId="77777777" w:rsidR="00152D4F" w:rsidRDefault="00000000">
      <w:pPr>
        <w:pStyle w:val="BodyText"/>
        <w:spacing w:before="267"/>
        <w:ind w:right="11"/>
      </w:pPr>
      <w:r>
        <w:t>Additionally, for each candidate for promotion and tenure, colleges solicit multiple letters of external evaluation (six to ten) from experts in the candidate’s field, who are tenured, often senior, faculty at other universities.</w:t>
      </w:r>
      <w:r>
        <w:rPr>
          <w:spacing w:val="40"/>
        </w:rPr>
        <w:t xml:space="preserve"> </w:t>
      </w:r>
      <w:r>
        <w:t>Recent candidates for early tenure have had letters from faculty at such institutions as the University of Pennsylvania, Indiana University, the University of Tennessee, University of Connecticut, Rutgers University, Virginia Tech, University of Utah, New York University, University of Wisconsin,</w:t>
      </w:r>
      <w:r>
        <w:rPr>
          <w:spacing w:val="-1"/>
        </w:rPr>
        <w:t xml:space="preserve"> </w:t>
      </w:r>
      <w:r>
        <w:t>University of</w:t>
      </w:r>
      <w:r>
        <w:rPr>
          <w:spacing w:val="-1"/>
        </w:rPr>
        <w:t xml:space="preserve"> </w:t>
      </w:r>
      <w:r>
        <w:t>Illinois, University of Ottawa, University of Leeds,</w:t>
      </w:r>
      <w:r>
        <w:rPr>
          <w:spacing w:val="-1"/>
        </w:rPr>
        <w:t xml:space="preserve"> </w:t>
      </w:r>
      <w:r>
        <w:t>Cornell</w:t>
      </w:r>
      <w:r>
        <w:rPr>
          <w:spacing w:val="-1"/>
        </w:rPr>
        <w:t xml:space="preserve"> </w:t>
      </w:r>
      <w:r>
        <w:t>University,</w:t>
      </w:r>
      <w:r>
        <w:rPr>
          <w:spacing w:val="-1"/>
        </w:rPr>
        <w:t xml:space="preserve"> </w:t>
      </w:r>
      <w:r>
        <w:t>University of Minnesota, University of California, Bowdoin College, and Ohio State University.</w:t>
      </w:r>
      <w:r>
        <w:rPr>
          <w:spacing w:val="40"/>
        </w:rPr>
        <w:t xml:space="preserve"> </w:t>
      </w:r>
      <w:r>
        <w:t>A key stipulation is that</w:t>
      </w:r>
      <w:r>
        <w:rPr>
          <w:spacing w:val="-2"/>
        </w:rPr>
        <w:t xml:space="preserve"> </w:t>
      </w:r>
      <w:r>
        <w:t>these</w:t>
      </w:r>
      <w:r>
        <w:rPr>
          <w:spacing w:val="-2"/>
        </w:rPr>
        <w:t xml:space="preserve"> </w:t>
      </w:r>
      <w:r>
        <w:t>evaluators</w:t>
      </w:r>
      <w:r>
        <w:rPr>
          <w:spacing w:val="-2"/>
        </w:rPr>
        <w:t xml:space="preserve"> </w:t>
      </w:r>
      <w:r>
        <w:t>not</w:t>
      </w:r>
      <w:r>
        <w:rPr>
          <w:spacing w:val="-4"/>
        </w:rPr>
        <w:t xml:space="preserve"> </w:t>
      </w:r>
      <w:r>
        <w:t>be</w:t>
      </w:r>
      <w:r>
        <w:rPr>
          <w:spacing w:val="-2"/>
        </w:rPr>
        <w:t xml:space="preserve"> </w:t>
      </w:r>
      <w:r>
        <w:t>friends,</w:t>
      </w:r>
      <w:r>
        <w:rPr>
          <w:spacing w:val="-4"/>
        </w:rPr>
        <w:t xml:space="preserve"> </w:t>
      </w:r>
      <w:r>
        <w:t>colleagues,</w:t>
      </w:r>
      <w:r>
        <w:rPr>
          <w:spacing w:val="-1"/>
        </w:rPr>
        <w:t xml:space="preserve"> </w:t>
      </w:r>
      <w:r>
        <w:t>collaborators,</w:t>
      </w:r>
      <w:r>
        <w:rPr>
          <w:spacing w:val="-1"/>
        </w:rPr>
        <w:t xml:space="preserve"> </w:t>
      </w:r>
      <w:r>
        <w:t>mentors,</w:t>
      </w:r>
      <w:r>
        <w:rPr>
          <w:spacing w:val="-4"/>
        </w:rPr>
        <w:t xml:space="preserve"> </w:t>
      </w:r>
      <w:r>
        <w:t>or</w:t>
      </w:r>
      <w:r>
        <w:rPr>
          <w:spacing w:val="-5"/>
        </w:rPr>
        <w:t xml:space="preserve"> </w:t>
      </w:r>
      <w:r>
        <w:t>co-authors</w:t>
      </w:r>
      <w:r>
        <w:rPr>
          <w:spacing w:val="-4"/>
        </w:rPr>
        <w:t xml:space="preserve"> </w:t>
      </w:r>
      <w:r>
        <w:t>of</w:t>
      </w:r>
      <w:r>
        <w:rPr>
          <w:spacing w:val="-2"/>
        </w:rPr>
        <w:t xml:space="preserve"> </w:t>
      </w:r>
      <w:r>
        <w:t>the</w:t>
      </w:r>
      <w:r>
        <w:rPr>
          <w:spacing w:val="-2"/>
        </w:rPr>
        <w:t xml:space="preserve"> </w:t>
      </w:r>
      <w:r>
        <w:t>candidate. The evaluator attests in the letter of evaluation itself that he or she knows of the candidate primarily through the candidate’s work and not through a personal or even professional relationship.</w:t>
      </w:r>
      <w:r>
        <w:rPr>
          <w:spacing w:val="40"/>
        </w:rPr>
        <w:t xml:space="preserve"> </w:t>
      </w:r>
      <w:r>
        <w:t>The letter writers review and fully discuss the candidate’s scholarship and make a judgment as to whether or not the scholarly record is worthy of tenure and promotion.</w:t>
      </w:r>
      <w:r>
        <w:rPr>
          <w:spacing w:val="40"/>
        </w:rPr>
        <w:t xml:space="preserve"> </w:t>
      </w:r>
      <w:r>
        <w:t>Many letter writers state explicitly whether at</w:t>
      </w:r>
    </w:p>
    <w:p w14:paraId="6472811E" w14:textId="77777777" w:rsidR="00152D4F" w:rsidRDefault="00152D4F">
      <w:pPr>
        <w:pStyle w:val="BodyText"/>
        <w:sectPr w:rsidR="00152D4F">
          <w:type w:val="continuous"/>
          <w:pgSz w:w="12240" w:h="15840"/>
          <w:pgMar w:top="1400" w:right="1440" w:bottom="280" w:left="1440" w:header="720" w:footer="720" w:gutter="0"/>
          <w:cols w:space="720"/>
        </w:sectPr>
      </w:pPr>
    </w:p>
    <w:p w14:paraId="17D03B49" w14:textId="77777777" w:rsidR="00152D4F" w:rsidRDefault="00000000">
      <w:pPr>
        <w:pStyle w:val="BodyText"/>
        <w:spacing w:before="37"/>
        <w:ind w:right="11"/>
      </w:pPr>
      <w:r>
        <w:lastRenderedPageBreak/>
        <w:t>their</w:t>
      </w:r>
      <w:r>
        <w:rPr>
          <w:spacing w:val="-1"/>
        </w:rPr>
        <w:t xml:space="preserve"> </w:t>
      </w:r>
      <w:r>
        <w:t>institutions</w:t>
      </w:r>
      <w:r>
        <w:rPr>
          <w:spacing w:val="-3"/>
        </w:rPr>
        <w:t xml:space="preserve"> </w:t>
      </w:r>
      <w:r>
        <w:t>these</w:t>
      </w:r>
      <w:r>
        <w:rPr>
          <w:spacing w:val="-3"/>
        </w:rPr>
        <w:t xml:space="preserve"> </w:t>
      </w:r>
      <w:r>
        <w:t>candidates</w:t>
      </w:r>
      <w:r>
        <w:rPr>
          <w:spacing w:val="-1"/>
        </w:rPr>
        <w:t xml:space="preserve"> </w:t>
      </w:r>
      <w:r>
        <w:t>would</w:t>
      </w:r>
      <w:r>
        <w:rPr>
          <w:spacing w:val="-3"/>
        </w:rPr>
        <w:t xml:space="preserve"> </w:t>
      </w:r>
      <w:r>
        <w:t>receive tenure</w:t>
      </w:r>
      <w:r>
        <w:rPr>
          <w:spacing w:val="-1"/>
        </w:rPr>
        <w:t xml:space="preserve"> </w:t>
      </w:r>
      <w:r>
        <w:t>and</w:t>
      </w:r>
      <w:r>
        <w:rPr>
          <w:spacing w:val="-2"/>
        </w:rPr>
        <w:t xml:space="preserve"> </w:t>
      </w:r>
      <w:r>
        <w:t>promotion.</w:t>
      </w:r>
      <w:r>
        <w:rPr>
          <w:spacing w:val="40"/>
        </w:rPr>
        <w:t xml:space="preserve"> </w:t>
      </w:r>
      <w:r>
        <w:t>OAA</w:t>
      </w:r>
      <w:r>
        <w:rPr>
          <w:spacing w:val="-3"/>
        </w:rPr>
        <w:t xml:space="preserve"> </w:t>
      </w:r>
      <w:r>
        <w:t>does not share</w:t>
      </w:r>
      <w:r>
        <w:rPr>
          <w:spacing w:val="-3"/>
        </w:rPr>
        <w:t xml:space="preserve"> </w:t>
      </w:r>
      <w:r>
        <w:t>the</w:t>
      </w:r>
      <w:r>
        <w:rPr>
          <w:spacing w:val="-1"/>
        </w:rPr>
        <w:t xml:space="preserve"> </w:t>
      </w:r>
      <w:r>
        <w:t>letters directly with the FSA Committee since they are confidential, and the identity of the writers and the contents</w:t>
      </w:r>
      <w:r>
        <w:rPr>
          <w:spacing w:val="-3"/>
        </w:rPr>
        <w:t xml:space="preserve"> </w:t>
      </w:r>
      <w:r>
        <w:t>of</w:t>
      </w:r>
      <w:r>
        <w:rPr>
          <w:spacing w:val="-1"/>
        </w:rPr>
        <w:t xml:space="preserve"> </w:t>
      </w:r>
      <w:r>
        <w:t>their</w:t>
      </w:r>
      <w:r>
        <w:rPr>
          <w:spacing w:val="-4"/>
        </w:rPr>
        <w:t xml:space="preserve"> </w:t>
      </w:r>
      <w:r>
        <w:t>letters</w:t>
      </w:r>
      <w:r>
        <w:rPr>
          <w:spacing w:val="-3"/>
        </w:rPr>
        <w:t xml:space="preserve"> </w:t>
      </w:r>
      <w:r>
        <w:t>should</w:t>
      </w:r>
      <w:r>
        <w:rPr>
          <w:spacing w:val="-3"/>
        </w:rPr>
        <w:t xml:space="preserve"> </w:t>
      </w:r>
      <w:r>
        <w:t>not</w:t>
      </w:r>
      <w:r>
        <w:rPr>
          <w:spacing w:val="-1"/>
        </w:rPr>
        <w:t xml:space="preserve"> </w:t>
      </w:r>
      <w:r>
        <w:t>be</w:t>
      </w:r>
      <w:r>
        <w:rPr>
          <w:spacing w:val="-3"/>
        </w:rPr>
        <w:t xml:space="preserve"> </w:t>
      </w:r>
      <w:r>
        <w:t>made</w:t>
      </w:r>
      <w:r>
        <w:rPr>
          <w:spacing w:val="-1"/>
        </w:rPr>
        <w:t xml:space="preserve"> </w:t>
      </w:r>
      <w:r>
        <w:t>public.</w:t>
      </w:r>
      <w:r>
        <w:rPr>
          <w:spacing w:val="40"/>
        </w:rPr>
        <w:t xml:space="preserve"> </w:t>
      </w:r>
      <w:r>
        <w:t>This</w:t>
      </w:r>
      <w:r>
        <w:rPr>
          <w:spacing w:val="-1"/>
        </w:rPr>
        <w:t xml:space="preserve"> </w:t>
      </w:r>
      <w:r>
        <w:t>promise</w:t>
      </w:r>
      <w:r>
        <w:rPr>
          <w:spacing w:val="-3"/>
        </w:rPr>
        <w:t xml:space="preserve"> </w:t>
      </w:r>
      <w:r>
        <w:t>of</w:t>
      </w:r>
      <w:r>
        <w:rPr>
          <w:spacing w:val="-1"/>
        </w:rPr>
        <w:t xml:space="preserve"> </w:t>
      </w:r>
      <w:r>
        <w:t>confidentiality is</w:t>
      </w:r>
      <w:r>
        <w:rPr>
          <w:spacing w:val="-3"/>
        </w:rPr>
        <w:t xml:space="preserve"> </w:t>
      </w:r>
      <w:r>
        <w:t>customary and</w:t>
      </w:r>
      <w:r>
        <w:rPr>
          <w:spacing w:val="-2"/>
        </w:rPr>
        <w:t xml:space="preserve"> </w:t>
      </w:r>
      <w:r>
        <w:t>is</w:t>
      </w:r>
      <w:r>
        <w:rPr>
          <w:spacing w:val="-4"/>
        </w:rPr>
        <w:t xml:space="preserve"> </w:t>
      </w:r>
      <w:r>
        <w:t>a way to ensure that the letter writers will be perfectly candid.</w:t>
      </w:r>
    </w:p>
    <w:p w14:paraId="2A7F1BC3" w14:textId="77777777" w:rsidR="00152D4F" w:rsidRDefault="00000000">
      <w:pPr>
        <w:pStyle w:val="BodyText"/>
        <w:spacing w:before="267"/>
      </w:pPr>
      <w:r>
        <w:t>After</w:t>
      </w:r>
      <w:r>
        <w:rPr>
          <w:spacing w:val="-2"/>
        </w:rPr>
        <w:t xml:space="preserve"> </w:t>
      </w:r>
      <w:r>
        <w:t>reviewing</w:t>
      </w:r>
      <w:r>
        <w:rPr>
          <w:spacing w:val="-4"/>
        </w:rPr>
        <w:t xml:space="preserve"> </w:t>
      </w:r>
      <w:r>
        <w:t>the</w:t>
      </w:r>
      <w:r>
        <w:rPr>
          <w:spacing w:val="-4"/>
        </w:rPr>
        <w:t xml:space="preserve"> </w:t>
      </w:r>
      <w:r>
        <w:t>peer-reviewed</w:t>
      </w:r>
      <w:r>
        <w:rPr>
          <w:spacing w:val="-2"/>
        </w:rPr>
        <w:t xml:space="preserve"> </w:t>
      </w:r>
      <w:r>
        <w:t>scholarship</w:t>
      </w:r>
      <w:r>
        <w:rPr>
          <w:spacing w:val="-4"/>
        </w:rPr>
        <w:t xml:space="preserve"> </w:t>
      </w:r>
      <w:r>
        <w:t>and</w:t>
      </w:r>
      <w:r>
        <w:rPr>
          <w:spacing w:val="-4"/>
        </w:rPr>
        <w:t xml:space="preserve"> </w:t>
      </w:r>
      <w:r>
        <w:t>the</w:t>
      </w:r>
      <w:r>
        <w:rPr>
          <w:spacing w:val="-4"/>
        </w:rPr>
        <w:t xml:space="preserve"> </w:t>
      </w:r>
      <w:r>
        <w:t>external</w:t>
      </w:r>
      <w:r>
        <w:rPr>
          <w:spacing w:val="-2"/>
        </w:rPr>
        <w:t xml:space="preserve"> </w:t>
      </w:r>
      <w:r>
        <w:t>letters</w:t>
      </w:r>
      <w:r>
        <w:rPr>
          <w:spacing w:val="-5"/>
        </w:rPr>
        <w:t xml:space="preserve"> </w:t>
      </w:r>
      <w:r>
        <w:t>of</w:t>
      </w:r>
      <w:r>
        <w:rPr>
          <w:spacing w:val="-5"/>
        </w:rPr>
        <w:t xml:space="preserve"> </w:t>
      </w:r>
      <w:r>
        <w:t>evaluation,</w:t>
      </w:r>
      <w:r>
        <w:rPr>
          <w:spacing w:val="-2"/>
        </w:rPr>
        <w:t xml:space="preserve"> </w:t>
      </w:r>
      <w:r>
        <w:t>tenured</w:t>
      </w:r>
      <w:r>
        <w:rPr>
          <w:spacing w:val="-2"/>
        </w:rPr>
        <w:t xml:space="preserve"> </w:t>
      </w:r>
      <w:r>
        <w:t>faculty</w:t>
      </w:r>
      <w:r>
        <w:rPr>
          <w:spacing w:val="-2"/>
        </w:rPr>
        <w:t xml:space="preserve"> </w:t>
      </w:r>
      <w:r>
        <w:t>in the</w:t>
      </w:r>
      <w:r>
        <w:rPr>
          <w:spacing w:val="-1"/>
        </w:rPr>
        <w:t xml:space="preserve"> </w:t>
      </w:r>
      <w:r>
        <w:t>candidate’s</w:t>
      </w:r>
      <w:r>
        <w:rPr>
          <w:spacing w:val="-1"/>
        </w:rPr>
        <w:t xml:space="preserve"> </w:t>
      </w:r>
      <w:r>
        <w:t>department</w:t>
      </w:r>
      <w:r>
        <w:rPr>
          <w:spacing w:val="-1"/>
        </w:rPr>
        <w:t xml:space="preserve"> </w:t>
      </w:r>
      <w:r>
        <w:t>and</w:t>
      </w:r>
      <w:r>
        <w:rPr>
          <w:spacing w:val="-1"/>
        </w:rPr>
        <w:t xml:space="preserve"> </w:t>
      </w:r>
      <w:r>
        <w:t>disciplinary</w:t>
      </w:r>
      <w:r>
        <w:rPr>
          <w:spacing w:val="-1"/>
        </w:rPr>
        <w:t xml:space="preserve"> </w:t>
      </w:r>
      <w:r>
        <w:t>school</w:t>
      </w:r>
      <w:r>
        <w:rPr>
          <w:spacing w:val="-1"/>
        </w:rPr>
        <w:t xml:space="preserve"> </w:t>
      </w:r>
      <w:r>
        <w:t>and</w:t>
      </w:r>
      <w:r>
        <w:rPr>
          <w:spacing w:val="-1"/>
        </w:rPr>
        <w:t xml:space="preserve"> </w:t>
      </w:r>
      <w:r>
        <w:t>on</w:t>
      </w:r>
      <w:r>
        <w:rPr>
          <w:spacing w:val="-2"/>
        </w:rPr>
        <w:t xml:space="preserve"> </w:t>
      </w:r>
      <w:r>
        <w:t>the</w:t>
      </w:r>
      <w:r>
        <w:rPr>
          <w:spacing w:val="-2"/>
        </w:rPr>
        <w:t xml:space="preserve"> </w:t>
      </w:r>
      <w:r>
        <w:t>college-wide</w:t>
      </w:r>
      <w:r>
        <w:rPr>
          <w:spacing w:val="-1"/>
        </w:rPr>
        <w:t xml:space="preserve"> </w:t>
      </w:r>
      <w:r>
        <w:t>personnel</w:t>
      </w:r>
      <w:r>
        <w:rPr>
          <w:spacing w:val="-1"/>
        </w:rPr>
        <w:t xml:space="preserve"> </w:t>
      </w:r>
      <w:r>
        <w:t>committee</w:t>
      </w:r>
      <w:r>
        <w:rPr>
          <w:spacing w:val="-3"/>
        </w:rPr>
        <w:t xml:space="preserve"> </w:t>
      </w:r>
      <w:r>
        <w:t>vote on the tenure and promotion.</w:t>
      </w:r>
      <w:r>
        <w:rPr>
          <w:spacing w:val="40"/>
        </w:rPr>
        <w:t xml:space="preserve"> </w:t>
      </w:r>
      <w:r>
        <w:t>The next level of review is the Provost and the President of the college, who make independent decisions, informed by and deferential to the previous peer evaluations by content area experts to which the case has been subjected.</w:t>
      </w:r>
      <w:r>
        <w:rPr>
          <w:spacing w:val="40"/>
        </w:rPr>
        <w:t xml:space="preserve"> </w:t>
      </w:r>
      <w:r>
        <w:t>Finally, in cases of early tenure, the supporting materials have been reviewed by the University Provost, who makes an independent judgment that is informed by the many layers of previous peer evaluation.</w:t>
      </w:r>
    </w:p>
    <w:p w14:paraId="6958E32D" w14:textId="77777777" w:rsidR="00152D4F" w:rsidRDefault="00152D4F">
      <w:pPr>
        <w:pStyle w:val="BodyText"/>
        <w:spacing w:before="2"/>
      </w:pPr>
    </w:p>
    <w:p w14:paraId="12101F4D" w14:textId="77777777" w:rsidR="00152D4F" w:rsidRDefault="00000000">
      <w:pPr>
        <w:pStyle w:val="BodyText"/>
      </w:pPr>
      <w:r>
        <w:t>No</w:t>
      </w:r>
      <w:r>
        <w:rPr>
          <w:spacing w:val="-1"/>
        </w:rPr>
        <w:t xml:space="preserve"> </w:t>
      </w:r>
      <w:r>
        <w:t>case</w:t>
      </w:r>
      <w:r>
        <w:rPr>
          <w:spacing w:val="-4"/>
        </w:rPr>
        <w:t xml:space="preserve"> </w:t>
      </w:r>
      <w:r>
        <w:t>of</w:t>
      </w:r>
      <w:r>
        <w:rPr>
          <w:spacing w:val="-2"/>
        </w:rPr>
        <w:t xml:space="preserve"> </w:t>
      </w:r>
      <w:r>
        <w:t>early</w:t>
      </w:r>
      <w:r>
        <w:rPr>
          <w:spacing w:val="-2"/>
        </w:rPr>
        <w:t xml:space="preserve"> </w:t>
      </w:r>
      <w:r>
        <w:t>tenure</w:t>
      </w:r>
      <w:r>
        <w:rPr>
          <w:spacing w:val="-2"/>
        </w:rPr>
        <w:t xml:space="preserve"> </w:t>
      </w:r>
      <w:r>
        <w:t>reaches</w:t>
      </w:r>
      <w:r>
        <w:rPr>
          <w:spacing w:val="-2"/>
        </w:rPr>
        <w:t xml:space="preserve"> </w:t>
      </w:r>
      <w:r>
        <w:t>the</w:t>
      </w:r>
      <w:r>
        <w:rPr>
          <w:spacing w:val="-4"/>
        </w:rPr>
        <w:t xml:space="preserve"> </w:t>
      </w:r>
      <w:r>
        <w:t>committee unless</w:t>
      </w:r>
      <w:r>
        <w:rPr>
          <w:spacing w:val="-4"/>
        </w:rPr>
        <w:t xml:space="preserve"> </w:t>
      </w:r>
      <w:r>
        <w:t>it</w:t>
      </w:r>
      <w:r>
        <w:rPr>
          <w:spacing w:val="-2"/>
        </w:rPr>
        <w:t xml:space="preserve"> </w:t>
      </w:r>
      <w:r>
        <w:t>has</w:t>
      </w:r>
      <w:r>
        <w:rPr>
          <w:spacing w:val="-2"/>
        </w:rPr>
        <w:t xml:space="preserve"> </w:t>
      </w:r>
      <w:r>
        <w:t>gone</w:t>
      </w:r>
      <w:r>
        <w:rPr>
          <w:spacing w:val="-2"/>
        </w:rPr>
        <w:t xml:space="preserve"> </w:t>
      </w:r>
      <w:r>
        <w:t>through</w:t>
      </w:r>
      <w:r>
        <w:rPr>
          <w:spacing w:val="-3"/>
        </w:rPr>
        <w:t xml:space="preserve"> </w:t>
      </w:r>
      <w:r>
        <w:t>this</w:t>
      </w:r>
      <w:r>
        <w:rPr>
          <w:spacing w:val="-2"/>
        </w:rPr>
        <w:t xml:space="preserve"> </w:t>
      </w:r>
      <w:r>
        <w:t>rigorous,</w:t>
      </w:r>
      <w:r>
        <w:rPr>
          <w:spacing w:val="-7"/>
        </w:rPr>
        <w:t xml:space="preserve"> </w:t>
      </w:r>
      <w:r>
        <w:t>multi-level process of peer review.</w:t>
      </w:r>
    </w:p>
    <w:p w14:paraId="0F8D7A4F" w14:textId="77777777" w:rsidR="00152D4F" w:rsidRDefault="00000000">
      <w:pPr>
        <w:pStyle w:val="Heading2"/>
        <w:spacing w:before="268"/>
      </w:pPr>
      <w:r>
        <w:t>Substantial</w:t>
      </w:r>
      <w:r>
        <w:rPr>
          <w:spacing w:val="-8"/>
        </w:rPr>
        <w:t xml:space="preserve"> </w:t>
      </w:r>
      <w:r>
        <w:rPr>
          <w:spacing w:val="-2"/>
        </w:rPr>
        <w:t>Reason</w:t>
      </w:r>
    </w:p>
    <w:p w14:paraId="4199D80E" w14:textId="77777777" w:rsidR="00152D4F" w:rsidRDefault="00152D4F">
      <w:pPr>
        <w:pStyle w:val="BodyText"/>
        <w:rPr>
          <w:b/>
        </w:rPr>
      </w:pPr>
    </w:p>
    <w:p w14:paraId="46026322" w14:textId="77777777" w:rsidR="00152D4F" w:rsidRDefault="00000000">
      <w:pPr>
        <w:pStyle w:val="BodyText"/>
        <w:ind w:right="11"/>
      </w:pPr>
      <w:r>
        <w:t>OAA</w:t>
      </w:r>
      <w:r>
        <w:rPr>
          <w:spacing w:val="-3"/>
        </w:rPr>
        <w:t xml:space="preserve"> </w:t>
      </w:r>
      <w:r>
        <w:t>has</w:t>
      </w:r>
      <w:r>
        <w:rPr>
          <w:spacing w:val="-2"/>
        </w:rPr>
        <w:t xml:space="preserve"> </w:t>
      </w:r>
      <w:r>
        <w:t>interpreted</w:t>
      </w:r>
      <w:r>
        <w:rPr>
          <w:spacing w:val="-5"/>
        </w:rPr>
        <w:t xml:space="preserve"> </w:t>
      </w:r>
      <w:r>
        <w:t>the</w:t>
      </w:r>
      <w:r>
        <w:rPr>
          <w:spacing w:val="-2"/>
        </w:rPr>
        <w:t xml:space="preserve"> </w:t>
      </w:r>
      <w:r>
        <w:t>phrase</w:t>
      </w:r>
      <w:r>
        <w:rPr>
          <w:spacing w:val="-2"/>
        </w:rPr>
        <w:t xml:space="preserve"> </w:t>
      </w:r>
      <w:r>
        <w:t>“substantial</w:t>
      </w:r>
      <w:r>
        <w:rPr>
          <w:spacing w:val="-3"/>
        </w:rPr>
        <w:t xml:space="preserve"> </w:t>
      </w:r>
      <w:r>
        <w:t>reason”</w:t>
      </w:r>
      <w:r>
        <w:rPr>
          <w:spacing w:val="-3"/>
        </w:rPr>
        <w:t xml:space="preserve"> </w:t>
      </w:r>
      <w:r>
        <w:t>to</w:t>
      </w:r>
      <w:r>
        <w:rPr>
          <w:spacing w:val="-3"/>
        </w:rPr>
        <w:t xml:space="preserve"> </w:t>
      </w:r>
      <w:r>
        <w:t>mean</w:t>
      </w:r>
      <w:r>
        <w:rPr>
          <w:spacing w:val="-5"/>
        </w:rPr>
        <w:t xml:space="preserve"> </w:t>
      </w:r>
      <w:r>
        <w:t>that</w:t>
      </w:r>
      <w:r>
        <w:rPr>
          <w:spacing w:val="-4"/>
        </w:rPr>
        <w:t xml:space="preserve"> </w:t>
      </w:r>
      <w:r>
        <w:t>early</w:t>
      </w:r>
      <w:r>
        <w:rPr>
          <w:spacing w:val="-4"/>
        </w:rPr>
        <w:t xml:space="preserve"> </w:t>
      </w:r>
      <w:r>
        <w:t>tenure</w:t>
      </w:r>
      <w:r>
        <w:rPr>
          <w:spacing w:val="-4"/>
        </w:rPr>
        <w:t xml:space="preserve"> </w:t>
      </w:r>
      <w:r>
        <w:t>is</w:t>
      </w:r>
      <w:r>
        <w:rPr>
          <w:spacing w:val="-2"/>
        </w:rPr>
        <w:t xml:space="preserve"> </w:t>
      </w:r>
      <w:r>
        <w:t>to</w:t>
      </w:r>
      <w:r>
        <w:rPr>
          <w:spacing w:val="-4"/>
        </w:rPr>
        <w:t xml:space="preserve"> </w:t>
      </w:r>
      <w:r>
        <w:t>be</w:t>
      </w:r>
      <w:r>
        <w:rPr>
          <w:spacing w:val="-2"/>
        </w:rPr>
        <w:t xml:space="preserve"> </w:t>
      </w:r>
      <w:r>
        <w:t>granted</w:t>
      </w:r>
      <w:r>
        <w:rPr>
          <w:spacing w:val="-2"/>
        </w:rPr>
        <w:t xml:space="preserve"> </w:t>
      </w:r>
      <w:r>
        <w:t>only</w:t>
      </w:r>
      <w:r>
        <w:rPr>
          <w:spacing w:val="-2"/>
        </w:rPr>
        <w:t xml:space="preserve"> </w:t>
      </w:r>
      <w:r>
        <w:t>in exceptional cases and for good reason. OAA has informed College presidents and provosts about the high bar and the exceptional circumstances in which such requests will be considered.</w:t>
      </w:r>
    </w:p>
    <w:p w14:paraId="64A1E538" w14:textId="77777777" w:rsidR="00152D4F" w:rsidRDefault="00152D4F">
      <w:pPr>
        <w:pStyle w:val="BodyText"/>
        <w:spacing w:before="1"/>
      </w:pPr>
    </w:p>
    <w:p w14:paraId="31E37554" w14:textId="77777777" w:rsidR="00152D4F" w:rsidRDefault="00000000">
      <w:pPr>
        <w:pStyle w:val="BodyText"/>
        <w:ind w:right="11"/>
      </w:pPr>
      <w:r>
        <w:t>Candidates may be exceptional because they have already exceeded the college’s standards for tenure with</w:t>
      </w:r>
      <w:r>
        <w:rPr>
          <w:spacing w:val="-1"/>
        </w:rPr>
        <w:t xml:space="preserve"> </w:t>
      </w:r>
      <w:r>
        <w:t>the</w:t>
      </w:r>
      <w:r>
        <w:rPr>
          <w:spacing w:val="-3"/>
        </w:rPr>
        <w:t xml:space="preserve"> </w:t>
      </w:r>
      <w:r>
        <w:t>prodigious</w:t>
      </w:r>
      <w:r>
        <w:rPr>
          <w:spacing w:val="-4"/>
        </w:rPr>
        <w:t xml:space="preserve"> </w:t>
      </w:r>
      <w:r>
        <w:t>quantity of</w:t>
      </w:r>
      <w:r>
        <w:rPr>
          <w:spacing w:val="-4"/>
        </w:rPr>
        <w:t xml:space="preserve"> </w:t>
      </w:r>
      <w:r>
        <w:t>their</w:t>
      </w:r>
      <w:r>
        <w:rPr>
          <w:spacing w:val="-3"/>
        </w:rPr>
        <w:t xml:space="preserve"> </w:t>
      </w:r>
      <w:r>
        <w:t>work</w:t>
      </w:r>
      <w:r>
        <w:rPr>
          <w:spacing w:val="-3"/>
        </w:rPr>
        <w:t xml:space="preserve"> </w:t>
      </w:r>
      <w:r>
        <w:t>or</w:t>
      </w:r>
      <w:r>
        <w:rPr>
          <w:spacing w:val="-1"/>
        </w:rPr>
        <w:t xml:space="preserve"> </w:t>
      </w:r>
      <w:r>
        <w:t>its exceptionally</w:t>
      </w:r>
      <w:r>
        <w:rPr>
          <w:spacing w:val="-3"/>
        </w:rPr>
        <w:t xml:space="preserve"> </w:t>
      </w:r>
      <w:r>
        <w:t>high</w:t>
      </w:r>
      <w:r>
        <w:rPr>
          <w:spacing w:val="-2"/>
        </w:rPr>
        <w:t xml:space="preserve"> </w:t>
      </w:r>
      <w:r>
        <w:t>quality,</w:t>
      </w:r>
      <w:r>
        <w:rPr>
          <w:spacing w:val="-3"/>
        </w:rPr>
        <w:t xml:space="preserve"> </w:t>
      </w:r>
      <w:r>
        <w:t>or</w:t>
      </w:r>
      <w:r>
        <w:rPr>
          <w:spacing w:val="-1"/>
        </w:rPr>
        <w:t xml:space="preserve"> </w:t>
      </w:r>
      <w:r>
        <w:t>both.</w:t>
      </w:r>
      <w:r>
        <w:rPr>
          <w:spacing w:val="-1"/>
        </w:rPr>
        <w:t xml:space="preserve"> </w:t>
      </w:r>
      <w:r>
        <w:t>In</w:t>
      </w:r>
      <w:r>
        <w:rPr>
          <w:spacing w:val="-2"/>
        </w:rPr>
        <w:t xml:space="preserve"> </w:t>
      </w:r>
      <w:r>
        <w:t>certain</w:t>
      </w:r>
      <w:r>
        <w:rPr>
          <w:spacing w:val="-3"/>
        </w:rPr>
        <w:t xml:space="preserve"> </w:t>
      </w:r>
      <w:r>
        <w:t>disciplines, candidates may be exceptional because of the impact their work has had on the field of practice and policy.</w:t>
      </w:r>
      <w:r>
        <w:rPr>
          <w:spacing w:val="40"/>
        </w:rPr>
        <w:t xml:space="preserve"> </w:t>
      </w:r>
      <w:r>
        <w:t>Finally, candidates may be deserving of early tenure, not only because their work meets or exceeds the college’s standard for tenure, but also because they have had a productive career prior to joining the faculty, during which they developed a scholarly portfolio of publications and presentations.</w:t>
      </w:r>
    </w:p>
    <w:p w14:paraId="7E18E523" w14:textId="77777777" w:rsidR="00152D4F" w:rsidRDefault="00152D4F">
      <w:pPr>
        <w:pStyle w:val="BodyText"/>
      </w:pPr>
    </w:p>
    <w:p w14:paraId="1C1B76D0" w14:textId="77777777" w:rsidR="00152D4F" w:rsidRDefault="00000000">
      <w:pPr>
        <w:pStyle w:val="BodyText"/>
        <w:ind w:right="40"/>
      </w:pPr>
      <w:r>
        <w:t>In</w:t>
      </w:r>
      <w:r>
        <w:rPr>
          <w:spacing w:val="-3"/>
        </w:rPr>
        <w:t xml:space="preserve"> </w:t>
      </w:r>
      <w:r>
        <w:t>signing</w:t>
      </w:r>
      <w:r>
        <w:rPr>
          <w:spacing w:val="-2"/>
        </w:rPr>
        <w:t xml:space="preserve"> </w:t>
      </w:r>
      <w:r>
        <w:t>the</w:t>
      </w:r>
      <w:r>
        <w:rPr>
          <w:spacing w:val="-1"/>
        </w:rPr>
        <w:t xml:space="preserve"> </w:t>
      </w:r>
      <w:r>
        <w:t>“Request</w:t>
      </w:r>
      <w:r>
        <w:rPr>
          <w:spacing w:val="-3"/>
        </w:rPr>
        <w:t xml:space="preserve"> </w:t>
      </w:r>
      <w:r>
        <w:t>for</w:t>
      </w:r>
      <w:r>
        <w:rPr>
          <w:spacing w:val="-6"/>
        </w:rPr>
        <w:t xml:space="preserve"> </w:t>
      </w:r>
      <w:r>
        <w:t>Faculty</w:t>
      </w:r>
      <w:r>
        <w:rPr>
          <w:spacing w:val="-2"/>
        </w:rPr>
        <w:t xml:space="preserve"> </w:t>
      </w:r>
      <w:r>
        <w:t>Personnel</w:t>
      </w:r>
      <w:r>
        <w:rPr>
          <w:spacing w:val="-1"/>
        </w:rPr>
        <w:t xml:space="preserve"> </w:t>
      </w:r>
      <w:r>
        <w:t>Action</w:t>
      </w:r>
      <w:r>
        <w:rPr>
          <w:spacing w:val="-4"/>
        </w:rPr>
        <w:t xml:space="preserve"> </w:t>
      </w:r>
      <w:r>
        <w:t>with</w:t>
      </w:r>
      <w:r>
        <w:rPr>
          <w:spacing w:val="-2"/>
        </w:rPr>
        <w:t xml:space="preserve"> </w:t>
      </w:r>
      <w:r>
        <w:t>a</w:t>
      </w:r>
      <w:r>
        <w:rPr>
          <w:spacing w:val="-1"/>
        </w:rPr>
        <w:t xml:space="preserve"> </w:t>
      </w:r>
      <w:r>
        <w:t>Bylaw</w:t>
      </w:r>
      <w:r>
        <w:rPr>
          <w:spacing w:val="-3"/>
        </w:rPr>
        <w:t xml:space="preserve"> </w:t>
      </w:r>
      <w:r>
        <w:t>Waiver,”</w:t>
      </w:r>
      <w:r>
        <w:rPr>
          <w:spacing w:val="-2"/>
        </w:rPr>
        <w:t xml:space="preserve"> </w:t>
      </w:r>
      <w:r>
        <w:t>the</w:t>
      </w:r>
      <w:r>
        <w:rPr>
          <w:spacing w:val="-3"/>
        </w:rPr>
        <w:t xml:space="preserve"> </w:t>
      </w:r>
      <w:r>
        <w:t>Provost</w:t>
      </w:r>
      <w:r>
        <w:rPr>
          <w:spacing w:val="-3"/>
        </w:rPr>
        <w:t xml:space="preserve"> </w:t>
      </w:r>
      <w:r>
        <w:t>of</w:t>
      </w:r>
      <w:r>
        <w:rPr>
          <w:spacing w:val="-4"/>
        </w:rPr>
        <w:t xml:space="preserve"> </w:t>
      </w:r>
      <w:r>
        <w:t>the</w:t>
      </w:r>
      <w:r>
        <w:rPr>
          <w:spacing w:val="-3"/>
        </w:rPr>
        <w:t xml:space="preserve"> </w:t>
      </w:r>
      <w:r>
        <w:t>early tenure candidate’s college certifies that the request is “for the good of the institution.”</w:t>
      </w:r>
    </w:p>
    <w:p w14:paraId="64A9D038" w14:textId="77777777" w:rsidR="00152D4F" w:rsidRDefault="00152D4F">
      <w:pPr>
        <w:pStyle w:val="BodyText"/>
      </w:pPr>
    </w:p>
    <w:p w14:paraId="61A5D932" w14:textId="77777777" w:rsidR="00152D4F" w:rsidRDefault="00152D4F">
      <w:pPr>
        <w:pStyle w:val="BodyText"/>
      </w:pPr>
    </w:p>
    <w:p w14:paraId="328A3FBC" w14:textId="77777777" w:rsidR="00152D4F" w:rsidRDefault="00152D4F">
      <w:pPr>
        <w:pStyle w:val="BodyText"/>
      </w:pPr>
    </w:p>
    <w:p w14:paraId="7CBBF0B3" w14:textId="77777777" w:rsidR="00152D4F" w:rsidRDefault="00152D4F">
      <w:pPr>
        <w:pStyle w:val="BodyText"/>
      </w:pPr>
    </w:p>
    <w:p w14:paraId="510E0853" w14:textId="77777777" w:rsidR="00152D4F" w:rsidRDefault="00152D4F">
      <w:pPr>
        <w:pStyle w:val="BodyText"/>
      </w:pPr>
    </w:p>
    <w:p w14:paraId="22623763" w14:textId="77777777" w:rsidR="00152D4F" w:rsidRDefault="00152D4F">
      <w:pPr>
        <w:pStyle w:val="BodyText"/>
      </w:pPr>
    </w:p>
    <w:p w14:paraId="2CF3A5A3" w14:textId="77777777" w:rsidR="00152D4F" w:rsidRDefault="00152D4F">
      <w:pPr>
        <w:pStyle w:val="BodyText"/>
      </w:pPr>
    </w:p>
    <w:p w14:paraId="1A261B6F" w14:textId="77777777" w:rsidR="00152D4F" w:rsidRDefault="00152D4F">
      <w:pPr>
        <w:pStyle w:val="BodyText"/>
      </w:pPr>
    </w:p>
    <w:p w14:paraId="42F73429" w14:textId="77777777" w:rsidR="00152D4F" w:rsidRDefault="00152D4F">
      <w:pPr>
        <w:pStyle w:val="BodyText"/>
      </w:pPr>
    </w:p>
    <w:p w14:paraId="2098E3A3" w14:textId="77777777" w:rsidR="00152D4F" w:rsidRDefault="00152D4F">
      <w:pPr>
        <w:pStyle w:val="BodyText"/>
      </w:pPr>
    </w:p>
    <w:p w14:paraId="2461966B" w14:textId="77777777" w:rsidR="00152D4F" w:rsidRDefault="00152D4F">
      <w:pPr>
        <w:pStyle w:val="BodyText"/>
      </w:pPr>
    </w:p>
    <w:p w14:paraId="4ED4552C" w14:textId="77777777" w:rsidR="00152D4F" w:rsidRDefault="00152D4F">
      <w:pPr>
        <w:pStyle w:val="BodyText"/>
      </w:pPr>
    </w:p>
    <w:p w14:paraId="42D44BB5" w14:textId="77777777" w:rsidR="00152D4F" w:rsidRDefault="00152D4F">
      <w:pPr>
        <w:pStyle w:val="BodyText"/>
      </w:pPr>
    </w:p>
    <w:p w14:paraId="6569269C" w14:textId="77777777" w:rsidR="00152D4F" w:rsidRDefault="00152D4F">
      <w:pPr>
        <w:pStyle w:val="BodyText"/>
      </w:pPr>
    </w:p>
    <w:p w14:paraId="0DFB0FEF" w14:textId="77777777" w:rsidR="00152D4F" w:rsidRDefault="00152D4F">
      <w:pPr>
        <w:pStyle w:val="BodyText"/>
      </w:pPr>
    </w:p>
    <w:p w14:paraId="739EEE75" w14:textId="77777777" w:rsidR="00152D4F" w:rsidRDefault="00152D4F">
      <w:pPr>
        <w:pStyle w:val="BodyText"/>
      </w:pPr>
    </w:p>
    <w:p w14:paraId="332EE5E8" w14:textId="77777777" w:rsidR="00152D4F" w:rsidRDefault="00152D4F">
      <w:pPr>
        <w:pStyle w:val="BodyText"/>
      </w:pPr>
    </w:p>
    <w:p w14:paraId="2936C23C" w14:textId="77777777" w:rsidR="00152D4F" w:rsidRDefault="00152D4F">
      <w:pPr>
        <w:pStyle w:val="BodyText"/>
        <w:spacing w:before="255"/>
      </w:pPr>
    </w:p>
    <w:p w14:paraId="34C6402E" w14:textId="77777777" w:rsidR="00152D4F" w:rsidRDefault="00000000">
      <w:pPr>
        <w:pStyle w:val="BodyText"/>
        <w:ind w:left="1553" w:right="1550"/>
        <w:jc w:val="center"/>
      </w:pPr>
      <w:r>
        <w:rPr>
          <w:spacing w:val="-10"/>
        </w:rPr>
        <w:t>2</w:t>
      </w:r>
    </w:p>
    <w:sectPr w:rsidR="00152D4F">
      <w:pgSz w:w="12240" w:h="15840"/>
      <w:pgMar w:top="140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4F"/>
    <w:rsid w:val="00152D4F"/>
    <w:rsid w:val="00196830"/>
    <w:rsid w:val="00A00F71"/>
    <w:rsid w:val="00A0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2C8A"/>
  <w15:docId w15:val="{63AA9B85-96F7-428E-9ADD-0DE858A7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550" w:right="1550"/>
      <w:jc w:val="center"/>
      <w:outlineLvl w:val="0"/>
    </w:pPr>
    <w:rPr>
      <w:b/>
      <w:bCs/>
      <w:sz w:val="24"/>
      <w:szCs w:val="24"/>
    </w:rPr>
  </w:style>
  <w:style w:type="paragraph" w:styleId="Heading2">
    <w:name w:val="heading 2"/>
    <w:basedOn w:val="Normal"/>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853</Words>
  <Characters>4865</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Jennifer Dobbins</cp:lastModifiedBy>
  <cp:revision>2</cp:revision>
  <dcterms:created xsi:type="dcterms:W3CDTF">2026-10-19T17:50:00Z</dcterms:created>
  <dcterms:modified xsi:type="dcterms:W3CDTF">2026-10-19T17:50:00Z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2019-03-27T00:00:00Z</vt:filetime>
  </property>
  <property fmtid="{D5CDD505-2E9C-101B-9397-08002B2CF9AE}" pid="3" name="Creator">
    <vt:lpwstr>Microsoft® Word 2010</vt:lpwstr>
  </property>
  <property fmtid="{D5CDD505-2E9C-101B-9397-08002B2CF9AE}" pid="4" name="LastSaved">
    <vt:filetime>2026-10-19T00:00:00Z</vt:filetime>
  </property>
  <property fmtid="{D5CDD505-2E9C-101B-9397-08002B2CF9AE}" pid="5" name="Producer">
    <vt:lpwstr>Microsoft® Word 2010</vt:lpwstr>
  </property>
</Properties>
</file>