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B5B8C" w14:textId="77777777" w:rsidR="0033355F" w:rsidRPr="00736124" w:rsidRDefault="0033355F" w:rsidP="0033355F">
      <w:pPr>
        <w:rPr>
          <w:rFonts w:ascii="Century Gothic" w:eastAsia="Times New Roman" w:hAnsi="Century Gothic" w:cs="Times New Roman"/>
        </w:rPr>
      </w:pPr>
      <w:r w:rsidRPr="00736124">
        <w:rPr>
          <w:rFonts w:ascii="Century Gothic" w:eastAsia="Times New Roman" w:hAnsi="Century Gothic" w:cs="Times New Roman"/>
        </w:rPr>
        <w:fldChar w:fldCharType="begin"/>
      </w:r>
      <w:r w:rsidRPr="00736124">
        <w:rPr>
          <w:rFonts w:ascii="Century Gothic" w:eastAsia="Times New Roman" w:hAnsi="Century Gothic" w:cs="Times New Roman"/>
        </w:rPr>
        <w:instrText xml:space="preserve"> INCLUDEPICTURE "/var/folders/vz/4sp5lb99293bymq4kqgx23c80000gn/T/com.microsoft.Word/WebArchiveCopyPasteTempFiles/page1image53369744" \* MERGEFORMATINET </w:instrText>
      </w:r>
      <w:r w:rsidRPr="00736124">
        <w:rPr>
          <w:rFonts w:ascii="Century Gothic" w:eastAsia="Times New Roman" w:hAnsi="Century Gothic" w:cs="Times New Roman"/>
        </w:rPr>
        <w:fldChar w:fldCharType="separate"/>
      </w:r>
      <w:r w:rsidRPr="00736124">
        <w:rPr>
          <w:rFonts w:ascii="Century Gothic" w:eastAsia="Times New Roman" w:hAnsi="Century Gothic" w:cs="Times New Roman"/>
          <w:noProof/>
        </w:rPr>
        <w:drawing>
          <wp:inline distT="0" distB="0" distL="0" distR="0" wp14:anchorId="1B5AB13E" wp14:editId="014E68D3">
            <wp:extent cx="9525" cy="9525"/>
            <wp:effectExtent l="0" t="0" r="0" b="0"/>
            <wp:docPr id="120" name="Picture 120" descr="page1image5336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image533697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36124">
        <w:rPr>
          <w:rFonts w:ascii="Century Gothic" w:eastAsia="Times New Roman" w:hAnsi="Century Gothic" w:cs="Times New Roman"/>
        </w:rPr>
        <w:fldChar w:fldCharType="end"/>
      </w:r>
      <w:r w:rsidRPr="00736124">
        <w:rPr>
          <w:rFonts w:ascii="Century Gothic" w:eastAsia="Times New Roman" w:hAnsi="Century Gothic" w:cs="Times New Roman"/>
        </w:rPr>
        <w:fldChar w:fldCharType="begin"/>
      </w:r>
      <w:r w:rsidRPr="00736124">
        <w:rPr>
          <w:rFonts w:ascii="Century Gothic" w:eastAsia="Times New Roman" w:hAnsi="Century Gothic" w:cs="Times New Roman"/>
        </w:rPr>
        <w:instrText xml:space="preserve"> INCLUDEPICTURE "/var/folders/vz/4sp5lb99293bymq4kqgx23c80000gn/T/com.microsoft.Word/WebArchiveCopyPasteTempFiles/page1image46865344" \* MERGEFORMATINET </w:instrText>
      </w:r>
      <w:r w:rsidRPr="00736124">
        <w:rPr>
          <w:rFonts w:ascii="Century Gothic" w:eastAsia="Times New Roman" w:hAnsi="Century Gothic" w:cs="Times New Roman"/>
        </w:rPr>
        <w:fldChar w:fldCharType="separate"/>
      </w:r>
      <w:r w:rsidRPr="00736124">
        <w:rPr>
          <w:rFonts w:ascii="Century Gothic" w:eastAsia="Times New Roman" w:hAnsi="Century Gothic" w:cs="Times New Roman"/>
          <w:noProof/>
        </w:rPr>
        <w:drawing>
          <wp:inline distT="0" distB="0" distL="0" distR="0" wp14:anchorId="38181D33" wp14:editId="1025105D">
            <wp:extent cx="9525" cy="9525"/>
            <wp:effectExtent l="0" t="0" r="0" b="0"/>
            <wp:docPr id="119" name="Picture 119" descr="page1image4686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image468653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36124">
        <w:rPr>
          <w:rFonts w:ascii="Century Gothic" w:eastAsia="Times New Roman" w:hAnsi="Century Gothic" w:cs="Times New Roman"/>
        </w:rPr>
        <w:fldChar w:fldCharType="end"/>
      </w:r>
      <w:r w:rsidRPr="00736124">
        <w:rPr>
          <w:rFonts w:ascii="Century Gothic" w:eastAsia="Times New Roman" w:hAnsi="Century Gothic" w:cs="Times New Roman"/>
        </w:rPr>
        <w:fldChar w:fldCharType="begin"/>
      </w:r>
      <w:r w:rsidRPr="00736124">
        <w:rPr>
          <w:rFonts w:ascii="Century Gothic" w:eastAsia="Times New Roman" w:hAnsi="Century Gothic" w:cs="Times New Roman"/>
        </w:rPr>
        <w:instrText xml:space="preserve"> INCLUDEPICTURE "/var/folders/vz/4sp5lb99293bymq4kqgx23c80000gn/T/com.microsoft.Word/WebArchiveCopyPasteTempFiles/page1image46865728" \* MERGEFORMATINET </w:instrText>
      </w:r>
      <w:r w:rsidRPr="00736124">
        <w:rPr>
          <w:rFonts w:ascii="Century Gothic" w:eastAsia="Times New Roman" w:hAnsi="Century Gothic" w:cs="Times New Roman"/>
        </w:rPr>
        <w:fldChar w:fldCharType="separate"/>
      </w:r>
      <w:r w:rsidRPr="00736124">
        <w:rPr>
          <w:rFonts w:ascii="Century Gothic" w:eastAsia="Times New Roman" w:hAnsi="Century Gothic" w:cs="Times New Roman"/>
          <w:noProof/>
        </w:rPr>
        <w:drawing>
          <wp:inline distT="0" distB="0" distL="0" distR="0" wp14:anchorId="78F16EC3" wp14:editId="61332AC5">
            <wp:extent cx="9525" cy="9525"/>
            <wp:effectExtent l="0" t="0" r="0" b="0"/>
            <wp:docPr id="118" name="Picture 118" descr="page1image4686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468657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36124">
        <w:rPr>
          <w:rFonts w:ascii="Century Gothic" w:eastAsia="Times New Roman" w:hAnsi="Century Gothic" w:cs="Times New Roman"/>
        </w:rPr>
        <w:fldChar w:fldCharType="end"/>
      </w:r>
      <w:r w:rsidRPr="00736124">
        <w:rPr>
          <w:rFonts w:ascii="Century Gothic" w:eastAsia="Times New Roman" w:hAnsi="Century Gothic" w:cs="Times New Roman"/>
          <w:b/>
          <w:bCs/>
          <w:color w:val="60686B"/>
        </w:rPr>
        <w:t xml:space="preserve">EXPERIENCE </w:t>
      </w:r>
    </w:p>
    <w:p w14:paraId="6E30E64A" w14:textId="77777777" w:rsidR="001A49BE" w:rsidRDefault="0033355F" w:rsidP="0033355F">
      <w:p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u w:val="single"/>
        </w:rPr>
        <w:t>Distinguished Lecturer</w:t>
      </w:r>
      <w:r w:rsidRPr="00736124">
        <w:rPr>
          <w:rFonts w:ascii="Century Gothic" w:eastAsia="Times New Roman" w:hAnsi="Century Gothic" w:cs="Times New Roman"/>
          <w:color w:val="60686B"/>
        </w:rPr>
        <w:br/>
        <w:t>John Jay College of Criminal Justice</w:t>
      </w:r>
    </w:p>
    <w:p w14:paraId="064FB94D" w14:textId="08DF00DD"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City University of New York September 2009-January 2020 </w:t>
      </w:r>
    </w:p>
    <w:p w14:paraId="3B848255" w14:textId="3A8984D4"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Executive Director</w:t>
      </w:r>
      <w:r w:rsidRPr="00736124">
        <w:rPr>
          <w:rFonts w:ascii="Century Gothic" w:eastAsia="Times New Roman" w:hAnsi="Century Gothic" w:cs="Times New Roman"/>
          <w:color w:val="60686B"/>
        </w:rPr>
        <w:br/>
        <w:t xml:space="preserve">New York State Sentencing Commission New York State Unified Court System October 2010-October 2018 </w:t>
      </w:r>
      <w:r w:rsidR="005E1E61" w:rsidRPr="00736124">
        <w:rPr>
          <w:rFonts w:ascii="Century Gothic" w:eastAsia="Times New Roman" w:hAnsi="Century Gothic" w:cs="Times New Roman"/>
          <w:color w:val="60686B"/>
        </w:rPr>
        <w:t>(as assignment John Jay College)</w:t>
      </w:r>
    </w:p>
    <w:p w14:paraId="6588DC0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Commissioner of Corrections</w:t>
      </w:r>
      <w:r w:rsidRPr="00736124">
        <w:rPr>
          <w:rFonts w:ascii="Century Gothic" w:eastAsia="Times New Roman" w:hAnsi="Century Gothic" w:cs="Times New Roman"/>
          <w:color w:val="60686B"/>
        </w:rPr>
        <w:t xml:space="preserve"> City of New York Department of Corrections January 2003-August 2009 </w:t>
      </w:r>
    </w:p>
    <w:p w14:paraId="4E6E00FD" w14:textId="074BA466"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Commissioner of Probation</w:t>
      </w:r>
      <w:r w:rsidRPr="00736124">
        <w:rPr>
          <w:rFonts w:ascii="Century Gothic" w:eastAsia="Times New Roman" w:hAnsi="Century Gothic" w:cs="Times New Roman"/>
          <w:color w:val="60686B"/>
        </w:rPr>
        <w:t xml:space="preserve"> City of New York Department of Probation January 2002-August 2009 </w:t>
      </w:r>
      <w:r w:rsidR="005E1E61" w:rsidRPr="00736124">
        <w:rPr>
          <w:rFonts w:ascii="Century Gothic" w:eastAsia="Times New Roman" w:hAnsi="Century Gothic" w:cs="Times New Roman"/>
          <w:color w:val="60686B"/>
        </w:rPr>
        <w:t>(Simultaneous appointments by the Mayor)</w:t>
      </w:r>
    </w:p>
    <w:p w14:paraId="6D28BAD5" w14:textId="1862351C"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Secretary of Administration</w:t>
      </w:r>
      <w:r w:rsidRPr="00736124">
        <w:rPr>
          <w:rFonts w:ascii="Century Gothic" w:eastAsia="Times New Roman" w:hAnsi="Century Gothic" w:cs="Times New Roman"/>
          <w:color w:val="60686B"/>
        </w:rPr>
        <w:t xml:space="preserve"> Governor’s Office of Administration Commonwealth of Pennsylvania January 20</w:t>
      </w:r>
      <w:r w:rsidR="006404B6">
        <w:rPr>
          <w:rFonts w:ascii="Century Gothic" w:eastAsia="Times New Roman" w:hAnsi="Century Gothic" w:cs="Times New Roman"/>
          <w:color w:val="60686B"/>
        </w:rPr>
        <w:t>0</w:t>
      </w:r>
      <w:r w:rsidRPr="00736124">
        <w:rPr>
          <w:rFonts w:ascii="Century Gothic" w:eastAsia="Times New Roman" w:hAnsi="Century Gothic" w:cs="Times New Roman"/>
          <w:color w:val="60686B"/>
        </w:rPr>
        <w:t>1-December 20</w:t>
      </w:r>
      <w:r w:rsidR="006404B6">
        <w:rPr>
          <w:rFonts w:ascii="Century Gothic" w:eastAsia="Times New Roman" w:hAnsi="Century Gothic" w:cs="Times New Roman"/>
          <w:color w:val="60686B"/>
        </w:rPr>
        <w:t>0</w:t>
      </w:r>
      <w:r w:rsidRPr="00736124">
        <w:rPr>
          <w:rFonts w:ascii="Century Gothic" w:eastAsia="Times New Roman" w:hAnsi="Century Gothic" w:cs="Times New Roman"/>
          <w:color w:val="60686B"/>
        </w:rPr>
        <w:t xml:space="preserve">1 </w:t>
      </w:r>
    </w:p>
    <w:p w14:paraId="2CDFC5B6" w14:textId="13ECC93B" w:rsidR="0033355F" w:rsidRPr="00736124" w:rsidRDefault="0033355F" w:rsidP="0033355F">
      <w:pPr>
        <w:rPr>
          <w:rFonts w:ascii="Century Gothic" w:eastAsia="Times New Roman" w:hAnsi="Century Gothic" w:cs="Times New Roman"/>
        </w:rPr>
      </w:pPr>
      <w:r w:rsidRPr="00736124">
        <w:rPr>
          <w:rFonts w:ascii="Century Gothic" w:eastAsia="Times New Roman" w:hAnsi="Century Gothic" w:cs="Times New Roman"/>
        </w:rPr>
        <w:fldChar w:fldCharType="begin"/>
      </w:r>
      <w:r w:rsidRPr="00736124">
        <w:rPr>
          <w:rFonts w:ascii="Century Gothic" w:eastAsia="Times New Roman" w:hAnsi="Century Gothic" w:cs="Times New Roman"/>
        </w:rPr>
        <w:instrText xml:space="preserve"> INCLUDEPICTURE "/var/folders/vz/4sp5lb99293bymq4kqgx23c80000gn/T/com.microsoft.Word/WebArchiveCopyPasteTempFiles/page1image53372544" \* MERGEFORMATINET </w:instrText>
      </w:r>
      <w:r w:rsidRPr="00736124">
        <w:rPr>
          <w:rFonts w:ascii="Century Gothic" w:eastAsia="Times New Roman" w:hAnsi="Century Gothic" w:cs="Times New Roman"/>
        </w:rPr>
        <w:fldChar w:fldCharType="separate"/>
      </w:r>
      <w:r w:rsidRPr="00736124">
        <w:rPr>
          <w:rFonts w:ascii="Century Gothic" w:eastAsia="Times New Roman" w:hAnsi="Century Gothic" w:cs="Times New Roman"/>
          <w:noProof/>
        </w:rPr>
        <w:drawing>
          <wp:inline distT="0" distB="0" distL="0" distR="0" wp14:anchorId="02FCB232" wp14:editId="334CC77C">
            <wp:extent cx="9525" cy="9525"/>
            <wp:effectExtent l="0" t="0" r="0" b="0"/>
            <wp:docPr id="113" name="Picture 113" descr="page1image5337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image5337254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36124">
        <w:rPr>
          <w:rFonts w:ascii="Century Gothic" w:eastAsia="Times New Roman" w:hAnsi="Century Gothic" w:cs="Times New Roman"/>
        </w:rPr>
        <w:fldChar w:fldCharType="end"/>
      </w:r>
      <w:r w:rsidRPr="00736124">
        <w:rPr>
          <w:rFonts w:ascii="Century Gothic" w:eastAsia="Times New Roman" w:hAnsi="Century Gothic" w:cs="Times New Roman"/>
          <w:color w:val="60686B"/>
          <w:u w:val="single"/>
        </w:rPr>
        <w:t>Secretary of Corrections</w:t>
      </w:r>
      <w:r w:rsidRPr="00736124">
        <w:rPr>
          <w:rFonts w:ascii="Century Gothic" w:eastAsia="Times New Roman" w:hAnsi="Century Gothic" w:cs="Times New Roman"/>
          <w:color w:val="60686B"/>
        </w:rPr>
        <w:t xml:space="preserve"> Department of Corrections Commonwealth of Pennsylvania March </w:t>
      </w:r>
      <w:r w:rsidR="006404B6">
        <w:rPr>
          <w:rFonts w:ascii="Century Gothic" w:eastAsia="Times New Roman" w:hAnsi="Century Gothic" w:cs="Times New Roman"/>
          <w:color w:val="60686B"/>
        </w:rPr>
        <w:t>1995</w:t>
      </w:r>
      <w:r w:rsidRPr="00736124">
        <w:rPr>
          <w:rFonts w:ascii="Century Gothic" w:eastAsia="Times New Roman" w:hAnsi="Century Gothic" w:cs="Times New Roman"/>
          <w:color w:val="60686B"/>
        </w:rPr>
        <w:t>5-December 20</w:t>
      </w:r>
      <w:r w:rsidR="006404B6">
        <w:rPr>
          <w:rFonts w:ascii="Century Gothic" w:eastAsia="Times New Roman" w:hAnsi="Century Gothic" w:cs="Times New Roman"/>
          <w:color w:val="60686B"/>
        </w:rPr>
        <w:t>0</w:t>
      </w:r>
      <w:r w:rsidRPr="00736124">
        <w:rPr>
          <w:rFonts w:ascii="Century Gothic" w:eastAsia="Times New Roman" w:hAnsi="Century Gothic" w:cs="Times New Roman"/>
          <w:color w:val="60686B"/>
        </w:rPr>
        <w:t xml:space="preserve">0 </w:t>
      </w:r>
    </w:p>
    <w:p w14:paraId="1FB0A61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Executive Director</w:t>
      </w:r>
      <w:r w:rsidRPr="00736124">
        <w:rPr>
          <w:rFonts w:ascii="Century Gothic" w:eastAsia="Times New Roman" w:hAnsi="Century Gothic" w:cs="Times New Roman"/>
          <w:color w:val="60686B"/>
        </w:rPr>
        <w:br/>
        <w:t xml:space="preserve">New York State Division of Parole August 1991-February 1995 </w:t>
      </w:r>
    </w:p>
    <w:p w14:paraId="56E0AB6D"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Director of Parole Operations</w:t>
      </w:r>
      <w:r w:rsidRPr="00736124">
        <w:rPr>
          <w:rFonts w:ascii="Century Gothic" w:eastAsia="Times New Roman" w:hAnsi="Century Gothic" w:cs="Times New Roman"/>
          <w:color w:val="60686B"/>
        </w:rPr>
        <w:t xml:space="preserve"> New York State Division of Parole April 1985-August 1991 </w:t>
      </w:r>
    </w:p>
    <w:p w14:paraId="041D641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Superintendent</w:t>
      </w:r>
      <w:r w:rsidRPr="00736124">
        <w:rPr>
          <w:rFonts w:ascii="Century Gothic" w:eastAsia="Times New Roman" w:hAnsi="Century Gothic" w:cs="Times New Roman"/>
          <w:color w:val="60686B"/>
        </w:rPr>
        <w:br/>
        <w:t>Hudson Correctional Facility</w:t>
      </w:r>
      <w:r w:rsidRPr="00736124">
        <w:rPr>
          <w:rFonts w:ascii="Century Gothic" w:eastAsia="Times New Roman" w:hAnsi="Century Gothic" w:cs="Times New Roman"/>
          <w:color w:val="60686B"/>
        </w:rPr>
        <w:br/>
        <w:t xml:space="preserve">New York State Department of Correctional Services April 1984-April 1985 </w:t>
      </w:r>
    </w:p>
    <w:p w14:paraId="7695AAFB"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Assistant Commissioner</w:t>
      </w:r>
      <w:r w:rsidRPr="00736124">
        <w:rPr>
          <w:rFonts w:ascii="Century Gothic" w:eastAsia="Times New Roman" w:hAnsi="Century Gothic" w:cs="Times New Roman"/>
          <w:color w:val="60686B"/>
        </w:rPr>
        <w:br/>
        <w:t xml:space="preserve">New York State Department of Correctional Services December 1980-April 1984 </w:t>
      </w:r>
    </w:p>
    <w:p w14:paraId="66CD5D36"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Assistant to the Commissioner</w:t>
      </w:r>
      <w:r w:rsidRPr="00736124">
        <w:rPr>
          <w:rFonts w:ascii="Century Gothic" w:eastAsia="Times New Roman" w:hAnsi="Century Gothic" w:cs="Times New Roman"/>
          <w:color w:val="60686B"/>
        </w:rPr>
        <w:br/>
        <w:t xml:space="preserve">New York State Department of Correctional Services December 1978-December 1980 </w:t>
      </w:r>
    </w:p>
    <w:p w14:paraId="6F7DCE89"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lastRenderedPageBreak/>
        <w:t>Director, Temporary Release Programs</w:t>
      </w:r>
      <w:r w:rsidRPr="00736124">
        <w:rPr>
          <w:rFonts w:ascii="Century Gothic" w:eastAsia="Times New Roman" w:hAnsi="Century Gothic" w:cs="Times New Roman"/>
          <w:color w:val="60686B"/>
        </w:rPr>
        <w:br/>
        <w:t xml:space="preserve">New York State Department of Correctional Services June 1977-December 1978 </w:t>
      </w:r>
    </w:p>
    <w:p w14:paraId="48694984"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Assistant Professor</w:t>
      </w:r>
      <w:r w:rsidRPr="00736124">
        <w:rPr>
          <w:rFonts w:ascii="Century Gothic" w:eastAsia="Times New Roman" w:hAnsi="Century Gothic" w:cs="Times New Roman"/>
          <w:color w:val="60686B"/>
        </w:rPr>
        <w:t>, Criminal Justice State University of New York College at Utica-Rome</w:t>
      </w:r>
      <w:r w:rsidRPr="00736124">
        <w:rPr>
          <w:rFonts w:ascii="Century Gothic" w:eastAsia="Times New Roman" w:hAnsi="Century Gothic" w:cs="Times New Roman"/>
          <w:color w:val="60686B"/>
        </w:rPr>
        <w:br/>
        <w:t xml:space="preserve">January 1975-June 1977 </w:t>
      </w:r>
    </w:p>
    <w:p w14:paraId="0A362E97"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Parole Officer, Senior Parole Officer</w:t>
      </w:r>
      <w:r w:rsidRPr="00736124">
        <w:rPr>
          <w:rFonts w:ascii="Century Gothic" w:eastAsia="Times New Roman" w:hAnsi="Century Gothic" w:cs="Times New Roman"/>
          <w:color w:val="60686B"/>
        </w:rPr>
        <w:t xml:space="preserve"> New York State Division of Parole June 1969-January 1975 </w:t>
      </w:r>
    </w:p>
    <w:p w14:paraId="5BA5FDF7"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 xml:space="preserve">EDUCATION </w:t>
      </w:r>
    </w:p>
    <w:p w14:paraId="0A0CE5E5"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Master of Arts, Criminal Justice</w:t>
      </w:r>
      <w:r w:rsidRPr="00736124">
        <w:rPr>
          <w:rFonts w:ascii="Century Gothic" w:eastAsia="Times New Roman" w:hAnsi="Century Gothic" w:cs="Times New Roman"/>
          <w:color w:val="60686B"/>
        </w:rPr>
        <w:t xml:space="preserve"> | June 1974 John Jay College of Criminal Justice</w:t>
      </w:r>
      <w:r w:rsidRPr="00736124">
        <w:rPr>
          <w:rFonts w:ascii="Century Gothic" w:eastAsia="Times New Roman" w:hAnsi="Century Gothic" w:cs="Times New Roman"/>
          <w:color w:val="60686B"/>
        </w:rPr>
        <w:br/>
        <w:t xml:space="preserve">City University of New York </w:t>
      </w:r>
    </w:p>
    <w:p w14:paraId="2BDC2AA7"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Bachelor of Arts, Government</w:t>
      </w:r>
      <w:r w:rsidRPr="00736124">
        <w:rPr>
          <w:rFonts w:ascii="Century Gothic" w:eastAsia="Times New Roman" w:hAnsi="Century Gothic" w:cs="Times New Roman"/>
          <w:color w:val="60686B"/>
        </w:rPr>
        <w:t xml:space="preserve"> | May 1969 Franklin and Marshall College, Lancaster, PA </w:t>
      </w:r>
    </w:p>
    <w:p w14:paraId="385D25CE"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 xml:space="preserve">PUBLICATIONS </w:t>
      </w:r>
    </w:p>
    <w:p w14:paraId="68802135"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Bonacum, William T., Farmer, Michael T., Fein, Scott N., and Horn, Martin F. Crime and Justice in New York: </w:t>
      </w:r>
      <w:r w:rsidRPr="00736124">
        <w:rPr>
          <w:rFonts w:ascii="Century Gothic" w:eastAsia="Times New Roman" w:hAnsi="Century Gothic" w:cs="Times New Roman"/>
          <w:b/>
          <w:bCs/>
          <w:color w:val="60686B"/>
        </w:rPr>
        <w:t>Proceedings of the Governor’s Conference on Crime. Albany: Office of the Governor</w:t>
      </w:r>
      <w:r w:rsidRPr="00736124">
        <w:rPr>
          <w:rFonts w:ascii="Century Gothic" w:eastAsia="Times New Roman" w:hAnsi="Century Gothic" w:cs="Times New Roman"/>
          <w:color w:val="60686B"/>
        </w:rPr>
        <w:t xml:space="preserve">, 1982. </w:t>
      </w:r>
    </w:p>
    <w:p w14:paraId="1686D223"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Dvoskin, J. and Horn, M. (July August 1994). </w:t>
      </w:r>
      <w:r w:rsidRPr="00736124">
        <w:rPr>
          <w:rFonts w:ascii="Century Gothic" w:eastAsia="Times New Roman" w:hAnsi="Century Gothic" w:cs="Times New Roman"/>
          <w:i/>
          <w:iCs/>
          <w:color w:val="60686B"/>
        </w:rPr>
        <w:t>Parole Mental Health Evaluations</w:t>
      </w:r>
      <w:r w:rsidRPr="00736124">
        <w:rPr>
          <w:rFonts w:ascii="Century Gothic" w:eastAsia="Times New Roman" w:hAnsi="Century Gothic" w:cs="Times New Roman"/>
          <w:color w:val="60686B"/>
        </w:rPr>
        <w:t xml:space="preserve">, </w:t>
      </w:r>
      <w:r w:rsidRPr="00736124">
        <w:rPr>
          <w:rFonts w:ascii="Century Gothic" w:eastAsia="Times New Roman" w:hAnsi="Century Gothic" w:cs="Times New Roman"/>
          <w:b/>
          <w:bCs/>
          <w:color w:val="60686B"/>
        </w:rPr>
        <w:t>Community Corrections Report</w:t>
      </w:r>
      <w:r w:rsidRPr="00736124">
        <w:rPr>
          <w:rFonts w:ascii="Century Gothic" w:eastAsia="Times New Roman" w:hAnsi="Century Gothic" w:cs="Times New Roman"/>
          <w:color w:val="60686B"/>
        </w:rPr>
        <w:t xml:space="preserve">, 1(6), 5-6. </w:t>
      </w:r>
    </w:p>
    <w:p w14:paraId="0224CD12" w14:textId="7BEE8C4B"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Greifinger, R.B., Horn, M. </w:t>
      </w:r>
      <w:r w:rsidRPr="00736124">
        <w:rPr>
          <w:rFonts w:ascii="Century Gothic" w:eastAsia="Times New Roman" w:hAnsi="Century Gothic" w:cs="Times New Roman"/>
          <w:i/>
          <w:iCs/>
          <w:color w:val="60686B"/>
        </w:rPr>
        <w:t xml:space="preserve">Quality Improvement through Care Management, </w:t>
      </w:r>
      <w:r w:rsidRPr="00736124">
        <w:rPr>
          <w:rFonts w:ascii="Century Gothic" w:eastAsia="Times New Roman" w:hAnsi="Century Gothic" w:cs="Times New Roman"/>
          <w:color w:val="60686B"/>
        </w:rPr>
        <w:t xml:space="preserve">chapter in Puisis, M. (Ed.), </w:t>
      </w:r>
      <w:r w:rsidRPr="00736124">
        <w:rPr>
          <w:rFonts w:ascii="Century Gothic" w:eastAsia="Times New Roman" w:hAnsi="Century Gothic" w:cs="Times New Roman"/>
          <w:b/>
          <w:bCs/>
          <w:color w:val="60686B"/>
        </w:rPr>
        <w:t>Clinical Practice in Correctional Medicine</w:t>
      </w:r>
      <w:r w:rsidRPr="00736124">
        <w:rPr>
          <w:rFonts w:ascii="Century Gothic" w:eastAsia="Times New Roman" w:hAnsi="Century Gothic" w:cs="Times New Roman"/>
          <w:color w:val="60686B"/>
        </w:rPr>
        <w:t>, St. Louis: Mosby, 1998.</w:t>
      </w:r>
      <w:r w:rsidRPr="00736124">
        <w:rPr>
          <w:rFonts w:ascii="Century Gothic" w:eastAsia="Times New Roman" w:hAnsi="Century Gothic" w:cs="Times New Roman"/>
          <w:color w:val="60686B"/>
        </w:rPr>
        <w:br/>
        <w:t xml:space="preserve">Horn, M. (1999, Feb.-March). </w:t>
      </w:r>
      <w:r w:rsidRPr="00736124">
        <w:rPr>
          <w:rFonts w:ascii="Century Gothic" w:eastAsia="Times New Roman" w:hAnsi="Century Gothic" w:cs="Times New Roman"/>
          <w:i/>
          <w:iCs/>
          <w:color w:val="60686B"/>
        </w:rPr>
        <w:t xml:space="preserve">Avoiding 20-20 Hindsight by Getting Back to </w:t>
      </w:r>
    </w:p>
    <w:p w14:paraId="58DBDF3D" w14:textId="1D2D5C47" w:rsidR="0033355F" w:rsidRPr="00736124" w:rsidRDefault="005E1E61"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 </w:t>
      </w:r>
      <w:r w:rsidR="0033355F" w:rsidRPr="00736124">
        <w:rPr>
          <w:rFonts w:ascii="Century Gothic" w:eastAsia="Times New Roman" w:hAnsi="Century Gothic" w:cs="Times New Roman"/>
          <w:i/>
          <w:iCs/>
          <w:color w:val="60686B"/>
        </w:rPr>
        <w:t>Basics: Lessons Learned</w:t>
      </w:r>
      <w:r w:rsidRPr="00736124">
        <w:rPr>
          <w:rFonts w:ascii="Century Gothic" w:eastAsia="Times New Roman" w:hAnsi="Century Gothic" w:cs="Times New Roman"/>
          <w:i/>
          <w:iCs/>
          <w:color w:val="60686B"/>
        </w:rPr>
        <w:t xml:space="preserve"> </w:t>
      </w:r>
      <w:r w:rsidR="0033355F" w:rsidRPr="00736124">
        <w:rPr>
          <w:rFonts w:ascii="Century Gothic" w:eastAsia="Times New Roman" w:hAnsi="Century Gothic" w:cs="Times New Roman"/>
          <w:i/>
          <w:iCs/>
          <w:color w:val="60686B"/>
        </w:rPr>
        <w:t xml:space="preserve">From a Major Escape. </w:t>
      </w:r>
      <w:r w:rsidR="0033355F" w:rsidRPr="00736124">
        <w:rPr>
          <w:rFonts w:ascii="Century Gothic" w:eastAsia="Times New Roman" w:hAnsi="Century Gothic" w:cs="Times New Roman"/>
          <w:b/>
          <w:bCs/>
          <w:color w:val="60686B"/>
        </w:rPr>
        <w:t>Correctional Security Report</w:t>
      </w:r>
      <w:r w:rsidR="0033355F" w:rsidRPr="00736124">
        <w:rPr>
          <w:rFonts w:ascii="Century Gothic" w:eastAsia="Times New Roman" w:hAnsi="Century Gothic" w:cs="Times New Roman"/>
          <w:color w:val="60686B"/>
        </w:rPr>
        <w:t xml:space="preserve">, 1(1), 1-2, 13. </w:t>
      </w:r>
    </w:p>
    <w:p w14:paraId="30EBEFB1" w14:textId="7039C6CA"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 (1999, winter). </w:t>
      </w:r>
      <w:r w:rsidRPr="00736124">
        <w:rPr>
          <w:rFonts w:ascii="Century Gothic" w:eastAsia="Times New Roman" w:hAnsi="Century Gothic" w:cs="Times New Roman"/>
          <w:i/>
          <w:iCs/>
          <w:color w:val="60686B"/>
        </w:rPr>
        <w:t xml:space="preserve">Change and Challenge: Pennsylvania’s Prison System. </w:t>
      </w:r>
      <w:r w:rsidRPr="00736124">
        <w:rPr>
          <w:rFonts w:ascii="Century Gothic" w:eastAsia="Times New Roman" w:hAnsi="Century Gothic" w:cs="Times New Roman"/>
          <w:b/>
          <w:bCs/>
          <w:color w:val="60686B"/>
        </w:rPr>
        <w:t>Corrections: The Newsletter of the Pennsylvania Bar Association Committee on the Corrections System</w:t>
      </w:r>
      <w:r w:rsidRPr="00736124">
        <w:rPr>
          <w:rFonts w:ascii="Century Gothic" w:eastAsia="Times New Roman" w:hAnsi="Century Gothic" w:cs="Times New Roman"/>
          <w:color w:val="60686B"/>
        </w:rPr>
        <w:t xml:space="preserve">, 1(3), 1-4. </w:t>
      </w:r>
    </w:p>
    <w:p w14:paraId="66571F95"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 </w:t>
      </w:r>
      <w:r w:rsidRPr="00736124">
        <w:rPr>
          <w:rFonts w:ascii="Century Gothic" w:eastAsia="Times New Roman" w:hAnsi="Century Gothic" w:cs="Times New Roman"/>
          <w:i/>
          <w:iCs/>
          <w:color w:val="60686B"/>
        </w:rPr>
        <w:t xml:space="preserve">Rethinking Sentencing. </w:t>
      </w:r>
      <w:r w:rsidRPr="00736124">
        <w:rPr>
          <w:rFonts w:ascii="Century Gothic" w:eastAsia="Times New Roman" w:hAnsi="Century Gothic" w:cs="Times New Roman"/>
          <w:b/>
          <w:bCs/>
          <w:color w:val="60686B"/>
        </w:rPr>
        <w:t>Corrections Management Quarterly</w:t>
      </w:r>
      <w:r w:rsidRPr="00736124">
        <w:rPr>
          <w:rFonts w:ascii="Century Gothic" w:eastAsia="Times New Roman" w:hAnsi="Century Gothic" w:cs="Times New Roman"/>
          <w:color w:val="60686B"/>
        </w:rPr>
        <w:t xml:space="preserve">, (2001, summer). 5(3), 34-40. </w:t>
      </w:r>
    </w:p>
    <w:p w14:paraId="37637F81" w14:textId="77777777" w:rsidR="0033355F" w:rsidRPr="00736124" w:rsidRDefault="0033355F" w:rsidP="0033355F">
      <w:pPr>
        <w:rPr>
          <w:rFonts w:ascii="Century Gothic" w:eastAsia="Times New Roman" w:hAnsi="Century Gothic" w:cs="Times New Roman"/>
        </w:rPr>
      </w:pPr>
      <w:r w:rsidRPr="00736124">
        <w:rPr>
          <w:rFonts w:ascii="Century Gothic" w:eastAsia="Times New Roman" w:hAnsi="Century Gothic" w:cs="Times New Roman"/>
          <w:color w:val="60686B"/>
        </w:rPr>
        <w:lastRenderedPageBreak/>
        <w:t xml:space="preserve">Smith, D. and Horn, M, </w:t>
      </w:r>
      <w:r w:rsidRPr="00736124">
        <w:rPr>
          <w:rFonts w:ascii="Century Gothic" w:eastAsia="Times New Roman" w:hAnsi="Century Gothic" w:cs="Times New Roman"/>
          <w:i/>
          <w:iCs/>
          <w:color w:val="60686B"/>
        </w:rPr>
        <w:t>Public Safety Policy in New York State</w:t>
      </w:r>
      <w:r w:rsidRPr="00736124">
        <w:rPr>
          <w:rFonts w:ascii="Century Gothic" w:eastAsia="Times New Roman" w:hAnsi="Century Gothic" w:cs="Times New Roman"/>
          <w:color w:val="60686B"/>
        </w:rPr>
        <w:t xml:space="preserve">. Chapter in Benjamin, G. (Ed.), </w:t>
      </w:r>
      <w:r w:rsidRPr="00736124">
        <w:rPr>
          <w:rFonts w:ascii="Century Gothic" w:eastAsia="Times New Roman" w:hAnsi="Century Gothic" w:cs="Times New Roman"/>
          <w:b/>
          <w:bCs/>
          <w:color w:val="60686B"/>
        </w:rPr>
        <w:t>Oxford Handbook of New York State Politics</w:t>
      </w:r>
      <w:r w:rsidRPr="00736124">
        <w:rPr>
          <w:rFonts w:ascii="Century Gothic" w:eastAsia="Times New Roman" w:hAnsi="Century Gothic" w:cs="Times New Roman"/>
          <w:color w:val="60686B"/>
        </w:rPr>
        <w:t xml:space="preserve">, New York: Oxford University Press, 2012. </w:t>
      </w:r>
    </w:p>
    <w:p w14:paraId="7F1F52AC"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 F. </w:t>
      </w:r>
      <w:r w:rsidRPr="00736124">
        <w:rPr>
          <w:rFonts w:ascii="Century Gothic" w:eastAsia="Times New Roman" w:hAnsi="Century Gothic" w:cs="Times New Roman"/>
          <w:i/>
          <w:iCs/>
          <w:color w:val="60686B"/>
        </w:rPr>
        <w:t>Corrections in the 21st Century</w:t>
      </w:r>
      <w:r w:rsidRPr="00736124">
        <w:rPr>
          <w:rFonts w:ascii="Century Gothic" w:eastAsia="Times New Roman" w:hAnsi="Century Gothic" w:cs="Times New Roman"/>
          <w:color w:val="60686B"/>
        </w:rPr>
        <w:t xml:space="preserve">. Chapter in Carlson, Peter (Ed.), </w:t>
      </w:r>
      <w:r w:rsidRPr="00736124">
        <w:rPr>
          <w:rFonts w:ascii="Century Gothic" w:eastAsia="Times New Roman" w:hAnsi="Century Gothic" w:cs="Times New Roman"/>
          <w:b/>
          <w:bCs/>
          <w:color w:val="60686B"/>
        </w:rPr>
        <w:t>Prison and Jail Administration: Theory and Practice</w:t>
      </w:r>
      <w:r w:rsidRPr="00736124">
        <w:rPr>
          <w:rFonts w:ascii="Century Gothic" w:eastAsia="Times New Roman" w:hAnsi="Century Gothic" w:cs="Times New Roman"/>
          <w:color w:val="60686B"/>
        </w:rPr>
        <w:t xml:space="preserve"> (3 ed.) (2013). Sudbury, MA: Jones and Bartlett. </w:t>
      </w:r>
    </w:p>
    <w:p w14:paraId="6FB39661"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M.F. and Moser, R.J. (Winter 2014) </w:t>
      </w:r>
      <w:r w:rsidRPr="00736124">
        <w:rPr>
          <w:rFonts w:ascii="Century Gothic" w:eastAsia="Times New Roman" w:hAnsi="Century Gothic" w:cs="Times New Roman"/>
          <w:i/>
          <w:iCs/>
          <w:color w:val="60686B"/>
        </w:rPr>
        <w:t>NYC FUSE Reentry Housing: A Scalable, Data-Driven Solution for a “Wicked Issue</w:t>
      </w:r>
      <w:r w:rsidRPr="00736124">
        <w:rPr>
          <w:rFonts w:ascii="Century Gothic" w:eastAsia="Times New Roman" w:hAnsi="Century Gothic" w:cs="Times New Roman"/>
          <w:color w:val="60686B"/>
        </w:rPr>
        <w:t xml:space="preserve">,” </w:t>
      </w:r>
      <w:r w:rsidRPr="00736124">
        <w:rPr>
          <w:rFonts w:ascii="Century Gothic" w:eastAsia="Times New Roman" w:hAnsi="Century Gothic" w:cs="Times New Roman"/>
          <w:b/>
          <w:bCs/>
          <w:color w:val="60686B"/>
        </w:rPr>
        <w:t>Government Law and Policy Journal</w:t>
      </w:r>
      <w:r w:rsidRPr="00736124">
        <w:rPr>
          <w:rFonts w:ascii="Century Gothic" w:eastAsia="Times New Roman" w:hAnsi="Century Gothic" w:cs="Times New Roman"/>
          <w:color w:val="60686B"/>
        </w:rPr>
        <w:t xml:space="preserve">, 16:2. New York State Bar Association and Albany Law School. </w:t>
      </w:r>
    </w:p>
    <w:p w14:paraId="579CF7DB"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 xml:space="preserve">PAPERS PRESENTED </w:t>
      </w:r>
    </w:p>
    <w:p w14:paraId="3BDD66B3"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Horn, M. “Project Zero: Pathway to Reform,” a paper presented at the Disproportionate Minority Confinement Conference of the Franklin H. Williams Judicial Commission on Minorities, New York State Judicial Institute, White Plains NY (September 18, 2006); </w:t>
      </w:r>
    </w:p>
    <w:p w14:paraId="37B9A836"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“Overall Systems Management in Corrections,” A paper presented at the US Dept of State Latin America Regional Workshop, Bridgetown, Barbados October 23, 2009; </w:t>
      </w:r>
    </w:p>
    <w:p w14:paraId="6876E885"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“Creating Safe Correctional Environments,” A paper presented at the AGM of the International Corrections and Prisons Association, Bridgetown Barbados, October 27,2009; </w:t>
      </w:r>
    </w:p>
    <w:p w14:paraId="34C32C6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 Practitioner Reflections on the Use of Evidence in Management of Correctional Facilities,” Fall Research Conference of the Association for Policy Analysis and Management Washington, DC November 6, 2009; </w:t>
      </w:r>
    </w:p>
    <w:p w14:paraId="3E8B4F73"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“Using Performance Measurement to Improve Human Rights in Prisons and Jails,” A Paper presented at the 9th Biennial International Conference, John Jay College of Criminal Justice, Marrakech, Morocco June 4.2010; </w:t>
      </w:r>
    </w:p>
    <w:p w14:paraId="0173B510" w14:textId="77777777" w:rsidR="0033355F" w:rsidRPr="00736124" w:rsidRDefault="0033355F" w:rsidP="0033355F">
      <w:pPr>
        <w:rPr>
          <w:rFonts w:ascii="Century Gothic" w:eastAsia="Times New Roman" w:hAnsi="Century Gothic" w:cs="Times New Roman"/>
        </w:rPr>
      </w:pPr>
      <w:r w:rsidRPr="00736124">
        <w:rPr>
          <w:rFonts w:ascii="Century Gothic" w:eastAsia="Times New Roman" w:hAnsi="Century Gothic" w:cs="Times New Roman"/>
          <w:color w:val="60686B"/>
        </w:rPr>
        <w:t xml:space="preserve">“Acts of Violence, Death and Suicide in the Context of Prisons” A paper presented at the IId Latin American Regional Corrections Seminar, Buenos Aires, Argentina, June 9, 2010; </w:t>
      </w:r>
    </w:p>
    <w:p w14:paraId="4EF5E8D3"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“Safe Lawful and Ethical Correctional Environments and Human Rights,” a paper presented at Conferencia Regional Penitenciaria Sur-Sureste de Mexico, Sistema Penitenciario Federal Mexico, Quintana Roo, Mexico, Non- Academic, International, Invited. (May 6, 2012). </w:t>
      </w:r>
    </w:p>
    <w:p w14:paraId="4AF1C177"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lastRenderedPageBreak/>
        <w:t xml:space="preserve">“Creating A Jail Reentry Program in a Large Urban Setting,” a paper presented at the Annual General Meeting and Conference, International Corrections and Prisons Association, Singapore. (September 13, 2012). </w:t>
      </w:r>
    </w:p>
    <w:p w14:paraId="3797DD3B"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 xml:space="preserve">“Determining Readiness to Undertake Prison Reform: A Modest Proposal,” a paper presented with Gabriela Perez Garcia at the Annual General Meeting of the International Corrections and Prisons Association, Colorado Springs, CO. October 30, 2013. </w:t>
      </w:r>
    </w:p>
    <w:p w14:paraId="580EE29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rPr>
        <w:t>Horn, M. “Prison Reform: Problematic Necessity,” The Human Dignity Lecture presented at the Center for Church Life, University of Notre Dame, October 8, 2014, South Bend, IN</w:t>
      </w:r>
      <w:r w:rsidRPr="00736124">
        <w:rPr>
          <w:rFonts w:ascii="Century Gothic" w:eastAsia="Times New Roman" w:hAnsi="Century Gothic" w:cs="Times New Roman"/>
          <w:b/>
          <w:bCs/>
          <w:color w:val="60686B"/>
        </w:rPr>
        <w:t xml:space="preserve">. </w:t>
      </w:r>
    </w:p>
    <w:p w14:paraId="4E17C9F8"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b/>
          <w:bCs/>
          <w:color w:val="60686B"/>
        </w:rPr>
        <w:t xml:space="preserve">EXPERT WITNESS </w:t>
      </w:r>
    </w:p>
    <w:p w14:paraId="3F7DCEE5" w14:textId="738C19A8"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Jeanette Perez v State of New York, et. Al</w:t>
      </w:r>
      <w:r w:rsidRPr="00736124">
        <w:rPr>
          <w:rFonts w:ascii="Century Gothic" w:eastAsia="Times New Roman" w:hAnsi="Century Gothic" w:cs="Times New Roman"/>
          <w:color w:val="60686B"/>
        </w:rPr>
        <w:t xml:space="preserve"> New York State Court of Claims, Claim No. 108710 (2010) (Testified as Expert in New York Court of Claims on behalf of respondent Defendant State of New York) </w:t>
      </w:r>
    </w:p>
    <w:p w14:paraId="5876F33F"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Alan Newton v. City of New York et. Al</w:t>
      </w:r>
      <w:r w:rsidRPr="00736124">
        <w:rPr>
          <w:rFonts w:ascii="Century Gothic" w:eastAsia="Times New Roman" w:hAnsi="Century Gothic" w:cs="Times New Roman"/>
          <w:color w:val="60686B"/>
        </w:rPr>
        <w:t xml:space="preserve"> SDNY 07-CV6211SAS (2010) (Prepared report on behalf of respondent defendant City of New York) </w:t>
      </w:r>
    </w:p>
    <w:p w14:paraId="665E9060"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Tamarra Sowell, (as personal representative,) administrator for the Estate, and on behalf of the heirs of Adekunle Odumabo v. Roy Dominguez, individually and in his official capacity as sheriff of Lake County, Indiana</w:t>
      </w:r>
      <w:r w:rsidRPr="00736124">
        <w:rPr>
          <w:rFonts w:ascii="Century Gothic" w:eastAsia="Times New Roman" w:hAnsi="Century Gothic" w:cs="Times New Roman"/>
          <w:color w:val="60686B"/>
        </w:rPr>
        <w:t xml:space="preserve">; Northern District Indiana, Hammond, 2:09-CV-0047 (Prepared report and provided deposition on behalf of plaintiff) </w:t>
      </w:r>
    </w:p>
    <w:p w14:paraId="285756BB" w14:textId="23F36935" w:rsidR="005E1E61" w:rsidRPr="00736124" w:rsidRDefault="0033355F" w:rsidP="005E1E61">
      <w:pPr>
        <w:rPr>
          <w:rFonts w:ascii="Century Gothic" w:eastAsia="Times New Roman" w:hAnsi="Century Gothic" w:cs="Times New Roman"/>
        </w:rPr>
      </w:pPr>
      <w:r w:rsidRPr="00736124">
        <w:rPr>
          <w:rFonts w:ascii="Century Gothic" w:eastAsia="Times New Roman" w:hAnsi="Century Gothic" w:cs="Times New Roman"/>
        </w:rPr>
        <w:fldChar w:fldCharType="begin"/>
      </w:r>
      <w:r w:rsidRPr="00736124">
        <w:rPr>
          <w:rFonts w:ascii="Century Gothic" w:eastAsia="Times New Roman" w:hAnsi="Century Gothic" w:cs="Times New Roman"/>
        </w:rPr>
        <w:instrText xml:space="preserve"> INCLUDEPICTURE "/var/folders/vz/4sp5lb99293bymq4kqgx23c80000gn/T/com.microsoft.Word/WebArchiveCopyPasteTempFiles/page5image53366720" \* MERGEFORMATINET </w:instrText>
      </w:r>
      <w:r w:rsidRPr="00736124">
        <w:rPr>
          <w:rFonts w:ascii="Century Gothic" w:eastAsia="Times New Roman" w:hAnsi="Century Gothic" w:cs="Times New Roman"/>
        </w:rPr>
        <w:fldChar w:fldCharType="separate"/>
      </w:r>
      <w:r w:rsidRPr="00736124">
        <w:rPr>
          <w:rFonts w:ascii="Century Gothic" w:eastAsia="Times New Roman" w:hAnsi="Century Gothic" w:cs="Times New Roman"/>
          <w:noProof/>
        </w:rPr>
        <w:drawing>
          <wp:inline distT="0" distB="0" distL="0" distR="0" wp14:anchorId="238DB70B" wp14:editId="0EB3E70F">
            <wp:extent cx="9525" cy="9525"/>
            <wp:effectExtent l="0" t="0" r="0" b="0"/>
            <wp:docPr id="70" name="Picture 70" descr="page5image5336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page5image533667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736124">
        <w:rPr>
          <w:rFonts w:ascii="Century Gothic" w:eastAsia="Times New Roman" w:hAnsi="Century Gothic" w:cs="Times New Roman"/>
        </w:rPr>
        <w:fldChar w:fldCharType="end"/>
      </w:r>
      <w:r w:rsidRPr="00736124">
        <w:rPr>
          <w:rFonts w:ascii="Century Gothic" w:eastAsia="Times New Roman" w:hAnsi="Century Gothic" w:cs="Times New Roman"/>
          <w:color w:val="60686B"/>
          <w:u w:val="single"/>
        </w:rPr>
        <w:t>Israel Bornstein as Administrator v County of Monmouth</w:t>
      </w:r>
      <w:r w:rsidRPr="00736124">
        <w:rPr>
          <w:rFonts w:ascii="Century Gothic" w:eastAsia="Times New Roman" w:hAnsi="Century Gothic" w:cs="Times New Roman"/>
          <w:color w:val="60686B"/>
        </w:rPr>
        <w:t xml:space="preserve">, Monmouth County Sheriff’s Office, et. Al U. S. District Court District of New Jersey 3:11-cv-05336- PGS-DEA (Testified as expert on behalf of plaintiff Israel Bornstein, US District Court, District of New Jersey.) </w:t>
      </w:r>
    </w:p>
    <w:p w14:paraId="50CFC095" w14:textId="41BE8C2B"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Farris v. Franklin County</w:t>
      </w:r>
      <w:r w:rsidRPr="00736124">
        <w:rPr>
          <w:rFonts w:ascii="Century Gothic" w:eastAsia="Times New Roman" w:hAnsi="Century Gothic" w:cs="Times New Roman"/>
          <w:color w:val="60686B"/>
        </w:rPr>
        <w:t xml:space="preserve">, 14-cv-05083 </w:t>
      </w:r>
      <w:r w:rsidR="003032BF">
        <w:rPr>
          <w:rFonts w:ascii="Century Gothic" w:eastAsia="Times New Roman" w:hAnsi="Century Gothic" w:cs="Times New Roman"/>
          <w:color w:val="60686B"/>
        </w:rPr>
        <w:t xml:space="preserve">United States District Court, </w:t>
      </w:r>
      <w:r w:rsidRPr="00736124">
        <w:rPr>
          <w:rFonts w:ascii="Century Gothic" w:eastAsia="Times New Roman" w:hAnsi="Century Gothic" w:cs="Times New Roman"/>
          <w:color w:val="60686B"/>
        </w:rPr>
        <w:t>Eastern District of Washington (report for plaintiff</w:t>
      </w:r>
      <w:r w:rsidR="004F2326" w:rsidRPr="00736124">
        <w:rPr>
          <w:rFonts w:ascii="Century Gothic" w:eastAsia="Times New Roman" w:hAnsi="Century Gothic" w:cs="Times New Roman"/>
          <w:color w:val="60686B"/>
        </w:rPr>
        <w:t xml:space="preserve"> assessing overall jail conditions and recommendations for improvement)</w:t>
      </w:r>
    </w:p>
    <w:p w14:paraId="4D1BF8E8" w14:textId="4A450C61"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Ellis Walker, v. Deborah Schult</w:t>
      </w:r>
      <w:r w:rsidRPr="00736124">
        <w:rPr>
          <w:rFonts w:ascii="Century Gothic" w:eastAsia="Times New Roman" w:hAnsi="Century Gothic" w:cs="Times New Roman"/>
          <w:color w:val="60686B"/>
        </w:rPr>
        <w:t>, et. Al Civil Action No. 11-CV-00287 (LEK-RFT) United States District Court for the Northern District of New York (report</w:t>
      </w:r>
      <w:r w:rsidR="005E1E61" w:rsidRPr="00736124">
        <w:rPr>
          <w:rFonts w:ascii="Century Gothic" w:eastAsia="Times New Roman" w:hAnsi="Century Gothic" w:cs="Times New Roman"/>
          <w:color w:val="60686B"/>
        </w:rPr>
        <w:t xml:space="preserve">, </w:t>
      </w:r>
      <w:r w:rsidRPr="00736124">
        <w:rPr>
          <w:rFonts w:ascii="Century Gothic" w:eastAsia="Times New Roman" w:hAnsi="Century Gothic" w:cs="Times New Roman"/>
          <w:color w:val="60686B"/>
        </w:rPr>
        <w:t>deposition</w:t>
      </w:r>
      <w:r w:rsidR="005E1E61" w:rsidRPr="00736124">
        <w:rPr>
          <w:rFonts w:ascii="Century Gothic" w:eastAsia="Times New Roman" w:hAnsi="Century Gothic" w:cs="Times New Roman"/>
          <w:color w:val="60686B"/>
        </w:rPr>
        <w:t xml:space="preserve">, testimony </w:t>
      </w:r>
      <w:r w:rsidRPr="00736124">
        <w:rPr>
          <w:rFonts w:ascii="Century Gothic" w:eastAsia="Times New Roman" w:hAnsi="Century Gothic" w:cs="Times New Roman"/>
          <w:color w:val="60686B"/>
        </w:rPr>
        <w:t xml:space="preserve">for plaintiff) </w:t>
      </w:r>
    </w:p>
    <w:p w14:paraId="4528C1E2"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State v Daniel Charles</w:t>
      </w:r>
      <w:r w:rsidRPr="00736124">
        <w:rPr>
          <w:rFonts w:ascii="Century Gothic" w:eastAsia="Times New Roman" w:hAnsi="Century Gothic" w:cs="Times New Roman"/>
          <w:color w:val="60686B"/>
        </w:rPr>
        <w:t xml:space="preserve">, resentencing hearing, Meade Co. South Dakota October 22, 2015, (report and testified as expert for defendant Daniel Charles) </w:t>
      </w:r>
    </w:p>
    <w:p w14:paraId="47A2E0A1"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lastRenderedPageBreak/>
        <w:t>Sheppard v Zavis</w:t>
      </w:r>
      <w:r w:rsidRPr="00736124">
        <w:rPr>
          <w:rFonts w:ascii="Century Gothic" w:eastAsia="Times New Roman" w:hAnsi="Century Gothic" w:cs="Times New Roman"/>
          <w:color w:val="60686B"/>
        </w:rPr>
        <w:t xml:space="preserve">, 1:11-cv-02398-NLH-KMW, United States District Court for the District of New Jersey, deposition. (report and deposition for plaintiff) </w:t>
      </w:r>
    </w:p>
    <w:p w14:paraId="4E905F0C"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Bradley Peterson v Christopher Holmes; James Kiel, Captain R. Ortiz, et. Al</w:t>
      </w:r>
      <w:r w:rsidRPr="00736124">
        <w:rPr>
          <w:rFonts w:ascii="Century Gothic" w:eastAsia="Times New Roman" w:hAnsi="Century Gothic" w:cs="Times New Roman"/>
          <w:color w:val="60686B"/>
        </w:rPr>
        <w:t xml:space="preserve"> 11-cv-02594, United States District Court for the District of New Jersey, deposition. (report, deposition and court appearance for plaintiff) </w:t>
      </w:r>
    </w:p>
    <w:p w14:paraId="139B320B"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Reginald Potts v John Manos et. Al</w:t>
      </w:r>
      <w:r w:rsidRPr="00736124">
        <w:rPr>
          <w:rFonts w:ascii="Century Gothic" w:eastAsia="Times New Roman" w:hAnsi="Century Gothic" w:cs="Times New Roman"/>
          <w:color w:val="60686B"/>
        </w:rPr>
        <w:t xml:space="preserve">, 11-cv-3952, United States District Court, Northern District of Illinois, (report and deposition for defendant) </w:t>
      </w:r>
    </w:p>
    <w:p w14:paraId="43DB8BF0"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Reginald Potts v Daniel Moreci et. Al</w:t>
      </w:r>
      <w:r w:rsidRPr="00736124">
        <w:rPr>
          <w:rFonts w:ascii="Century Gothic" w:eastAsia="Times New Roman" w:hAnsi="Century Gothic" w:cs="Times New Roman"/>
          <w:color w:val="60686B"/>
        </w:rPr>
        <w:t xml:space="preserve">, 11-cv-5310, United States District Court, Northern District of Illinois, (report and deposition for defendant) </w:t>
      </w:r>
    </w:p>
    <w:p w14:paraId="58945C04"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Mark Duke, et al v Jefferson Dunn</w:t>
      </w:r>
      <w:r w:rsidRPr="00736124">
        <w:rPr>
          <w:rFonts w:ascii="Century Gothic" w:eastAsia="Times New Roman" w:hAnsi="Century Gothic" w:cs="Times New Roman"/>
          <w:color w:val="60686B"/>
        </w:rPr>
        <w:t xml:space="preserve">, et. Al, 4:14-CV-1952 VEH, United States District Court, Northern District of Alabama, report and deposition (for plaintiff) </w:t>
      </w:r>
    </w:p>
    <w:p w14:paraId="4E9AD986"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Arthur Johnson v. John Wetzel</w:t>
      </w:r>
      <w:r w:rsidRPr="00736124">
        <w:rPr>
          <w:rFonts w:ascii="Century Gothic" w:eastAsia="Times New Roman" w:hAnsi="Century Gothic" w:cs="Times New Roman"/>
          <w:color w:val="60686B"/>
        </w:rPr>
        <w:t xml:space="preserve">, et. Al, 1:16-cv-00863-CCC-MCC, United States District Court, Middle District of Pennsylvania, (testified as expert for plaintiff) </w:t>
      </w:r>
    </w:p>
    <w:p w14:paraId="2597BBE1"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Lillyan Ryan, as Administrator, of the Estate Bartholomew Ryan, deceased, and Lillyann Ryan, individually v. County of Nassau</w:t>
      </w:r>
      <w:r w:rsidRPr="00736124">
        <w:rPr>
          <w:rFonts w:ascii="Century Gothic" w:eastAsia="Times New Roman" w:hAnsi="Century Gothic" w:cs="Times New Roman"/>
          <w:color w:val="60686B"/>
        </w:rPr>
        <w:t xml:space="preserve">, et al. 12-CV-5343, United States District Court, Eastern District of New York (expert trial testimony for plaintiff) </w:t>
      </w:r>
    </w:p>
    <w:p w14:paraId="490F642E" w14:textId="55F8C538" w:rsidR="0033355F" w:rsidRDefault="0033355F" w:rsidP="0033355F">
      <w:p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u w:val="single"/>
        </w:rPr>
        <w:t>Charles Gifford v. Orlando Harper</w:t>
      </w:r>
      <w:r w:rsidRPr="00736124">
        <w:rPr>
          <w:rFonts w:ascii="Century Gothic" w:eastAsia="Times New Roman" w:hAnsi="Century Gothic" w:cs="Times New Roman"/>
          <w:color w:val="60686B"/>
        </w:rPr>
        <w:t xml:space="preserve">, et. Al, 2:15-cv-00613, United States District Court for the Western District of Pennsylvania (report and trial testimony for plaintiff) </w:t>
      </w:r>
    </w:p>
    <w:p w14:paraId="52976FB6" w14:textId="040EBC95" w:rsidR="005E6E74" w:rsidRPr="00736124" w:rsidRDefault="005E6E74" w:rsidP="0033355F">
      <w:pPr>
        <w:spacing w:before="100" w:beforeAutospacing="1" w:after="100" w:afterAutospacing="1"/>
        <w:rPr>
          <w:rFonts w:ascii="Century Gothic" w:eastAsia="Times New Roman" w:hAnsi="Century Gothic" w:cs="Times New Roman"/>
        </w:rPr>
      </w:pPr>
      <w:r w:rsidRPr="005E6E74">
        <w:rPr>
          <w:rFonts w:ascii="Century Gothic" w:eastAsia="Times New Roman" w:hAnsi="Century Gothic" w:cs="Times New Roman"/>
          <w:color w:val="60686B"/>
          <w:u w:val="single"/>
        </w:rPr>
        <w:t>Martha McConville, as Administatrix for the Estate of Kenneth McConville v. Jeremy Montrym, Jennifer Young, Jennifer Wintermute, Shawn Byrne, Jon Wemple, Kevin Abrams, Michael Franko, Michael Amato, and the County of Montgomery</w:t>
      </w:r>
      <w:r>
        <w:rPr>
          <w:rFonts w:ascii="Century Gothic" w:eastAsia="Times New Roman" w:hAnsi="Century Gothic" w:cs="Times New Roman"/>
          <w:color w:val="60686B"/>
        </w:rPr>
        <w:t>, 15-cv-0967(MAD/DEP) United States District Court, Northern District of New York (report for defendant County of Montgomery)</w:t>
      </w:r>
    </w:p>
    <w:p w14:paraId="6E831073"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Kalvin Donnell Howard v. A. David Robinson</w:t>
      </w:r>
      <w:r w:rsidRPr="00736124">
        <w:rPr>
          <w:rFonts w:ascii="Century Gothic" w:eastAsia="Times New Roman" w:hAnsi="Century Gothic" w:cs="Times New Roman"/>
          <w:color w:val="60686B"/>
        </w:rPr>
        <w:t xml:space="preserve">, et. Al 1:10-cv-147 (LMB/TRJ) United States District Court for the Eastern District of Virginia (report and expert trial testimony for plaintiff) </w:t>
      </w:r>
    </w:p>
    <w:p w14:paraId="351B0084"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Kendrid Hamlin, petitioner v William J. Smith</w:t>
      </w:r>
      <w:r w:rsidRPr="00736124">
        <w:rPr>
          <w:rFonts w:ascii="Century Gothic" w:eastAsia="Times New Roman" w:hAnsi="Century Gothic" w:cs="Times New Roman"/>
          <w:color w:val="60686B"/>
        </w:rPr>
        <w:t xml:space="preserve">, et. Al respondents Case No. 2015 CF3 9721, Case No. 2015 CF 18179 Superior Court of the District of Columbia, Criminal Division. (Report and testimony for petitioner) </w:t>
      </w:r>
    </w:p>
    <w:p w14:paraId="67EFA1CA" w14:textId="553E479E"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lastRenderedPageBreak/>
        <w:t>Mary Jane Rivas v. WA State Dept of Corrections, Dick Morgan, Bernie Warner, Dan Pacholke, Donna Zavislan, Margaret Gilbert, George Gilbert</w:t>
      </w:r>
      <w:r w:rsidR="005E1E61" w:rsidRPr="00736124">
        <w:rPr>
          <w:rFonts w:ascii="Century Gothic" w:eastAsia="Times New Roman" w:hAnsi="Century Gothic" w:cs="Times New Roman"/>
          <w:color w:val="60686B"/>
        </w:rPr>
        <w:t xml:space="preserve">, </w:t>
      </w:r>
      <w:r w:rsidRPr="00736124">
        <w:rPr>
          <w:rFonts w:ascii="Century Gothic" w:eastAsia="Times New Roman" w:hAnsi="Century Gothic" w:cs="Times New Roman"/>
          <w:color w:val="60686B"/>
        </w:rPr>
        <w:t xml:space="preserve">Superior Court of Washington, County of Thurston (October 2017 Report for Defendant State employees) </w:t>
      </w:r>
    </w:p>
    <w:p w14:paraId="6F1EBA6A"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 xml:space="preserve">Elliot Cortes v. Correctional Officers Donovan Bynum, Terrell Felts, et. Al </w:t>
      </w:r>
      <w:r w:rsidRPr="00736124">
        <w:rPr>
          <w:rFonts w:ascii="Century Gothic" w:eastAsia="Times New Roman" w:hAnsi="Century Gothic" w:cs="Times New Roman"/>
          <w:color w:val="60686B"/>
        </w:rPr>
        <w:t xml:space="preserve">Court of Common Pleas, Philadelphia PA Docket 000744 (report for plaintiff December 2017) </w:t>
      </w:r>
    </w:p>
    <w:p w14:paraId="08E27444"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 xml:space="preserve">P.D. (a pseudonym) v Middlesex Co. </w:t>
      </w:r>
      <w:r w:rsidRPr="00736124">
        <w:rPr>
          <w:rFonts w:ascii="Century Gothic" w:eastAsia="Times New Roman" w:hAnsi="Century Gothic" w:cs="Times New Roman"/>
          <w:color w:val="60686B"/>
        </w:rPr>
        <w:t xml:space="preserve">Superior Court of the State of New Jersey, Law Division: Middlesex Co. MID-L-3811-14 (report and deposition for respondent County) </w:t>
      </w:r>
    </w:p>
    <w:p w14:paraId="7292FCA3" w14:textId="4F2A5C42"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Reynolds v. Arnone, et. Al</w:t>
      </w:r>
      <w:r w:rsidRPr="00736124">
        <w:rPr>
          <w:rFonts w:ascii="Century Gothic" w:eastAsia="Times New Roman" w:hAnsi="Century Gothic" w:cs="Times New Roman"/>
          <w:color w:val="60686B"/>
        </w:rPr>
        <w:t xml:space="preserve"> United States District Court, District of Connecticut CV3: 13: CV 1465 (SRU) (report</w:t>
      </w:r>
      <w:r w:rsidR="00525C21">
        <w:rPr>
          <w:rFonts w:ascii="Century Gothic" w:eastAsia="Times New Roman" w:hAnsi="Century Gothic" w:cs="Times New Roman"/>
          <w:color w:val="60686B"/>
        </w:rPr>
        <w:t xml:space="preserve">, </w:t>
      </w:r>
      <w:r w:rsidRPr="00736124">
        <w:rPr>
          <w:rFonts w:ascii="Century Gothic" w:eastAsia="Times New Roman" w:hAnsi="Century Gothic" w:cs="Times New Roman"/>
          <w:color w:val="60686B"/>
        </w:rPr>
        <w:t>deposition</w:t>
      </w:r>
      <w:r w:rsidR="00525C21">
        <w:rPr>
          <w:rFonts w:ascii="Century Gothic" w:eastAsia="Times New Roman" w:hAnsi="Century Gothic" w:cs="Times New Roman"/>
          <w:color w:val="60686B"/>
        </w:rPr>
        <w:t xml:space="preserve"> and trial testimony</w:t>
      </w:r>
      <w:r w:rsidRPr="00736124">
        <w:rPr>
          <w:rFonts w:ascii="Century Gothic" w:eastAsia="Times New Roman" w:hAnsi="Century Gothic" w:cs="Times New Roman"/>
          <w:color w:val="60686B"/>
        </w:rPr>
        <w:t xml:space="preserve"> for plaintiff) </w:t>
      </w:r>
    </w:p>
    <w:p w14:paraId="0BF2F24D"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 xml:space="preserve">Carol Ann Conforti, Individually and as </w:t>
      </w:r>
      <w:r w:rsidRPr="00736124">
        <w:rPr>
          <w:rFonts w:ascii="Century Gothic" w:eastAsia="Times New Roman" w:hAnsi="Century Gothic" w:cs="Times New Roman"/>
          <w:i/>
          <w:iCs/>
          <w:color w:val="60686B"/>
          <w:u w:val="single"/>
        </w:rPr>
        <w:t xml:space="preserve">Administratrix ad Prosequendum </w:t>
      </w:r>
      <w:r w:rsidRPr="00736124">
        <w:rPr>
          <w:rFonts w:ascii="Century Gothic" w:eastAsia="Times New Roman" w:hAnsi="Century Gothic" w:cs="Times New Roman"/>
          <w:color w:val="60686B"/>
          <w:u w:val="single"/>
        </w:rPr>
        <w:t xml:space="preserve">of the Estate of Kenneth Conforti and as Parent, Natural Guardian and Guardian </w:t>
      </w:r>
      <w:r w:rsidRPr="00736124">
        <w:rPr>
          <w:rFonts w:ascii="Century Gothic" w:eastAsia="Times New Roman" w:hAnsi="Century Gothic" w:cs="Times New Roman"/>
          <w:i/>
          <w:iCs/>
          <w:color w:val="60686B"/>
          <w:u w:val="single"/>
        </w:rPr>
        <w:t xml:space="preserve">ad Litem </w:t>
      </w:r>
      <w:r w:rsidRPr="00736124">
        <w:rPr>
          <w:rFonts w:ascii="Century Gothic" w:eastAsia="Times New Roman" w:hAnsi="Century Gothic" w:cs="Times New Roman"/>
          <w:color w:val="60686B"/>
          <w:u w:val="single"/>
        </w:rPr>
        <w:t>of A.C., a minor, Plaintiff, v. County of Ocean; Ocean County Board of Chosen Freeholders (in their individual and official capacities); Ocean County Department of Corrections; Warden Theodore J. Hutler (in his individual and official capacity); et. Al, Defendants</w:t>
      </w:r>
      <w:r w:rsidRPr="00736124">
        <w:rPr>
          <w:rFonts w:ascii="Century Gothic" w:eastAsia="Times New Roman" w:hAnsi="Century Gothic" w:cs="Times New Roman"/>
          <w:color w:val="60686B"/>
        </w:rPr>
        <w:t xml:space="preserve">. Superior Court of New Jersey, Law Division: Ocean County Docket No.: OCN-L-2340- 15 (consolidated with Docket No. OCN-L-1215-15) (report and testimony for plaintiff) </w:t>
      </w:r>
    </w:p>
    <w:p w14:paraId="02463BD5" w14:textId="77777777" w:rsidR="0033355F" w:rsidRPr="00736124" w:rsidRDefault="0033355F" w:rsidP="0033355F">
      <w:pPr>
        <w:rPr>
          <w:rFonts w:ascii="Century Gothic" w:eastAsia="Times New Roman" w:hAnsi="Century Gothic" w:cs="Times New Roman"/>
        </w:rPr>
      </w:pPr>
      <w:r w:rsidRPr="00736124">
        <w:rPr>
          <w:rFonts w:ascii="Century Gothic" w:eastAsia="Times New Roman" w:hAnsi="Century Gothic" w:cs="Times New Roman"/>
          <w:color w:val="60686B"/>
          <w:u w:val="single"/>
        </w:rPr>
        <w:t>Antoine Miles v. David Guice</w:t>
      </w:r>
      <w:r w:rsidRPr="00736124">
        <w:rPr>
          <w:rFonts w:ascii="Century Gothic" w:eastAsia="Times New Roman" w:hAnsi="Century Gothic" w:cs="Times New Roman"/>
          <w:color w:val="60686B"/>
        </w:rPr>
        <w:t xml:space="preserve">, et al., 5:13-CT-3193-FL, United States District Court, Eastern District of North Carolina (report for plaintiff) </w:t>
      </w:r>
    </w:p>
    <w:p w14:paraId="42A6EF6E" w14:textId="514E5648"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Johnny Morgan v. United States of America</w:t>
      </w:r>
      <w:r w:rsidRPr="00736124">
        <w:rPr>
          <w:rFonts w:ascii="Century Gothic" w:eastAsia="Times New Roman" w:hAnsi="Century Gothic" w:cs="Times New Roman"/>
          <w:color w:val="60686B"/>
        </w:rPr>
        <w:t xml:space="preserve">, 14 Civ. 7921 (DCF) United States District Court, Southern District of New York (report, deposition and trial testimony for plaintiff) </w:t>
      </w:r>
    </w:p>
    <w:p w14:paraId="193C2701"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MATTHEW ANDERSON v. LIEUTENANT JOHN BONNEWELL, individually, SERGEANT BRUCE TAYLOR, individually, CORRECTIONAL OFFICER ZACHARY PETTYJOHN, individually, CORRECTIONAL OFFICER EDGAR VERDE, individually, and CORRECTIONAL OFFICER JOHN BUNTING, individually</w:t>
      </w:r>
      <w:r w:rsidRPr="00736124">
        <w:rPr>
          <w:rFonts w:ascii="Century Gothic" w:eastAsia="Times New Roman" w:hAnsi="Century Gothic" w:cs="Times New Roman"/>
          <w:color w:val="60686B"/>
        </w:rPr>
        <w:t xml:space="preserve"> C.A. No. N17C-02-080 FWW, SUPERIOR COURT OF THE STATE OF DELAWARE (report and deposition for plaintiff) </w:t>
      </w:r>
    </w:p>
    <w:p w14:paraId="2B890175" w14:textId="2D0DFDBF"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t>Walker v City of St Ann</w:t>
      </w:r>
      <w:r w:rsidR="00152D12" w:rsidRPr="00736124">
        <w:rPr>
          <w:rFonts w:ascii="Century Gothic" w:eastAsia="Times New Roman" w:hAnsi="Century Gothic" w:cs="Times New Roman"/>
          <w:color w:val="60686B"/>
          <w:u w:val="single"/>
        </w:rPr>
        <w:t>,</w:t>
      </w:r>
      <w:r w:rsidRPr="00736124">
        <w:rPr>
          <w:rFonts w:ascii="Century Gothic" w:eastAsia="Times New Roman" w:hAnsi="Century Gothic" w:cs="Times New Roman"/>
          <w:color w:val="60686B"/>
        </w:rPr>
        <w:t xml:space="preserve"> Case No. 4:16-cv-1302 United States District Court Eastern District of Missouri Eastern Division (</w:t>
      </w:r>
      <w:r w:rsidR="00B57F2F" w:rsidRPr="00736124">
        <w:rPr>
          <w:rFonts w:ascii="Century Gothic" w:eastAsia="Times New Roman" w:hAnsi="Century Gothic" w:cs="Times New Roman"/>
          <w:color w:val="60686B"/>
        </w:rPr>
        <w:t xml:space="preserve">report </w:t>
      </w:r>
      <w:r w:rsidR="00B57F2F">
        <w:rPr>
          <w:rFonts w:ascii="Century Gothic" w:eastAsia="Times New Roman" w:hAnsi="Century Gothic" w:cs="Times New Roman"/>
          <w:color w:val="60686B"/>
        </w:rPr>
        <w:t>and</w:t>
      </w:r>
      <w:r w:rsidR="0057092F">
        <w:rPr>
          <w:rFonts w:ascii="Century Gothic" w:eastAsia="Times New Roman" w:hAnsi="Century Gothic" w:cs="Times New Roman"/>
          <w:color w:val="60686B"/>
        </w:rPr>
        <w:t xml:space="preserve"> deposition </w:t>
      </w:r>
      <w:r w:rsidRPr="00736124">
        <w:rPr>
          <w:rFonts w:ascii="Century Gothic" w:eastAsia="Times New Roman" w:hAnsi="Century Gothic" w:cs="Times New Roman"/>
          <w:color w:val="60686B"/>
        </w:rPr>
        <w:t xml:space="preserve">for plaintiff) </w:t>
      </w:r>
    </w:p>
    <w:p w14:paraId="4209AABD" w14:textId="77777777" w:rsidR="0033355F" w:rsidRPr="00736124" w:rsidRDefault="0033355F" w:rsidP="0033355F">
      <w:pPr>
        <w:spacing w:before="100" w:beforeAutospacing="1" w:after="100" w:afterAutospacing="1"/>
        <w:rPr>
          <w:rFonts w:ascii="Century Gothic" w:eastAsia="Times New Roman" w:hAnsi="Century Gothic" w:cs="Times New Roman"/>
        </w:rPr>
      </w:pPr>
      <w:r w:rsidRPr="00736124">
        <w:rPr>
          <w:rFonts w:ascii="Century Gothic" w:eastAsia="Times New Roman" w:hAnsi="Century Gothic" w:cs="Times New Roman"/>
          <w:color w:val="60686B"/>
          <w:u w:val="single"/>
        </w:rPr>
        <w:lastRenderedPageBreak/>
        <w:t>Kelvin A. Alexander, plaintiff v. Willis J. Fowler et. Al</w:t>
      </w:r>
      <w:r w:rsidRPr="00736124">
        <w:rPr>
          <w:rFonts w:ascii="Century Gothic" w:eastAsia="Times New Roman" w:hAnsi="Century Gothic" w:cs="Times New Roman"/>
          <w:color w:val="60686B"/>
        </w:rPr>
        <w:t xml:space="preserve">. No. 16 CVS 13337 General Court of Justice Superior Court Division, State of North Carolina, County of Wake (report for plaintiff) </w:t>
      </w:r>
    </w:p>
    <w:p w14:paraId="07E7E835" w14:textId="0524E0EF" w:rsidR="0033355F" w:rsidRPr="00736124" w:rsidRDefault="0033355F" w:rsidP="0033355F">
      <w:p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u w:val="single"/>
        </w:rPr>
        <w:t>Anthony Reid, et. Al, plaintiffs v John Wetzel</w:t>
      </w:r>
      <w:r w:rsidRPr="00736124">
        <w:rPr>
          <w:rFonts w:ascii="Century Gothic" w:eastAsia="Times New Roman" w:hAnsi="Century Gothic" w:cs="Times New Roman"/>
          <w:color w:val="60686B"/>
        </w:rPr>
        <w:t xml:space="preserve">, et. Al No. 18-CV-0176 United States District Court Middle District of Pennsylvania (report for plaintiff) </w:t>
      </w:r>
    </w:p>
    <w:p w14:paraId="72D5E41C" w14:textId="71DE0CBF" w:rsidR="00F628C6" w:rsidRDefault="00D161F9" w:rsidP="0033355F">
      <w:pPr>
        <w:spacing w:before="100" w:beforeAutospacing="1" w:after="100" w:afterAutospacing="1"/>
        <w:rPr>
          <w:rFonts w:ascii="Century Gothic" w:eastAsia="Times New Roman" w:hAnsi="Century Gothic" w:cs="Times New Roman"/>
          <w:bCs/>
          <w:color w:val="60686B"/>
        </w:rPr>
      </w:pPr>
      <w:r w:rsidRPr="00D161F9">
        <w:rPr>
          <w:rFonts w:ascii="Century Gothic" w:eastAsia="Times New Roman" w:hAnsi="Century Gothic" w:cs="Times New Roman"/>
          <w:bCs/>
          <w:color w:val="60686B"/>
          <w:u w:val="single"/>
          <w:lang w:val="es-ES"/>
        </w:rPr>
        <w:t>Clay, et al. v. Cuyahoga County, et al</w:t>
      </w:r>
      <w:r w:rsidRPr="00D161F9">
        <w:rPr>
          <w:rFonts w:ascii="Century Gothic" w:eastAsia="Times New Roman" w:hAnsi="Century Gothic" w:cs="Times New Roman"/>
          <w:bCs/>
          <w:color w:val="60686B"/>
          <w:lang w:val="es-ES"/>
        </w:rPr>
        <w:t>.</w:t>
      </w:r>
      <w:r w:rsidRPr="00736124">
        <w:rPr>
          <w:rFonts w:ascii="Century Gothic" w:eastAsia="Times New Roman" w:hAnsi="Century Gothic" w:cs="Times New Roman"/>
          <w:bCs/>
          <w:color w:val="60686B"/>
          <w:lang w:val="es-ES"/>
        </w:rPr>
        <w:t xml:space="preserve"> </w:t>
      </w:r>
      <w:r w:rsidRPr="00D161F9">
        <w:rPr>
          <w:rFonts w:ascii="Century Gothic" w:eastAsia="Times New Roman" w:hAnsi="Century Gothic" w:cs="Times New Roman"/>
          <w:bCs/>
          <w:color w:val="60686B"/>
        </w:rPr>
        <w:t>U.S. District Court N.D. Ohio Case No. 1:18-cv-02929</w:t>
      </w:r>
      <w:r w:rsidRPr="00736124">
        <w:rPr>
          <w:rFonts w:ascii="Century Gothic" w:eastAsia="Times New Roman" w:hAnsi="Century Gothic" w:cs="Times New Roman"/>
          <w:bCs/>
          <w:color w:val="60686B"/>
        </w:rPr>
        <w:t xml:space="preserve"> Parties’ Joint Consulting Correctional Expert (reports and recommendations concerning conditions of the Cuyahoga County Jail)</w:t>
      </w:r>
    </w:p>
    <w:p w14:paraId="3AE29F8B" w14:textId="5E2F4FB6" w:rsidR="00A612FE" w:rsidRDefault="00A612FE" w:rsidP="0033355F">
      <w:pPr>
        <w:spacing w:before="100" w:beforeAutospacing="1" w:after="100" w:afterAutospacing="1"/>
        <w:rPr>
          <w:rFonts w:ascii="Century Gothic" w:eastAsia="Times New Roman" w:hAnsi="Century Gothic" w:cs="Times New Roman"/>
          <w:bCs/>
          <w:color w:val="60686B"/>
        </w:rPr>
      </w:pPr>
      <w:r w:rsidRPr="00A612FE">
        <w:rPr>
          <w:rFonts w:ascii="Century Gothic" w:eastAsia="Times New Roman" w:hAnsi="Century Gothic" w:cs="Times New Roman"/>
          <w:bCs/>
          <w:color w:val="60686B"/>
          <w:u w:val="single"/>
        </w:rPr>
        <w:t>Lisa M. Montgomery v. William P. Barr</w:t>
      </w:r>
      <w:r>
        <w:rPr>
          <w:rFonts w:ascii="Century Gothic" w:eastAsia="Times New Roman" w:hAnsi="Century Gothic" w:cs="Times New Roman"/>
          <w:bCs/>
          <w:color w:val="60686B"/>
        </w:rPr>
        <w:t>, United States Court for the District of Columbia, No. 1:20-cv-03214-TNM, (Declaration for plaintiff)</w:t>
      </w:r>
    </w:p>
    <w:p w14:paraId="716EF33D" w14:textId="77777777" w:rsidR="003B5407" w:rsidRDefault="006404B6" w:rsidP="0033355F">
      <w:pPr>
        <w:spacing w:before="100" w:beforeAutospacing="1" w:after="100" w:afterAutospacing="1"/>
        <w:rPr>
          <w:rFonts w:ascii="Century Gothic" w:eastAsia="Times New Roman" w:hAnsi="Century Gothic" w:cs="Times New Roman"/>
          <w:bCs/>
          <w:color w:val="60686B"/>
        </w:rPr>
      </w:pPr>
      <w:r>
        <w:rPr>
          <w:rFonts w:ascii="Century Gothic" w:eastAsia="Times New Roman" w:hAnsi="Century Gothic" w:cs="Times New Roman"/>
          <w:bCs/>
          <w:color w:val="60686B"/>
          <w:u w:val="single"/>
        </w:rPr>
        <w:t xml:space="preserve">Victor Parsons, Shawn Jensen, et. Al </w:t>
      </w:r>
      <w:r w:rsidR="00AC697F" w:rsidRPr="00AC697F">
        <w:rPr>
          <w:rFonts w:ascii="Century Gothic" w:eastAsia="Times New Roman" w:hAnsi="Century Gothic" w:cs="Times New Roman"/>
          <w:bCs/>
          <w:color w:val="60686B"/>
          <w:u w:val="single"/>
        </w:rPr>
        <w:t xml:space="preserve"> v </w:t>
      </w:r>
      <w:r>
        <w:rPr>
          <w:rFonts w:ascii="Century Gothic" w:eastAsia="Times New Roman" w:hAnsi="Century Gothic" w:cs="Times New Roman"/>
          <w:bCs/>
          <w:color w:val="60686B"/>
          <w:u w:val="single"/>
        </w:rPr>
        <w:t xml:space="preserve">David </w:t>
      </w:r>
      <w:r w:rsidR="00AC697F" w:rsidRPr="00AC697F">
        <w:rPr>
          <w:rFonts w:ascii="Century Gothic" w:eastAsia="Times New Roman" w:hAnsi="Century Gothic" w:cs="Times New Roman"/>
          <w:bCs/>
          <w:color w:val="60686B"/>
          <w:u w:val="single"/>
        </w:rPr>
        <w:t>Shinn</w:t>
      </w:r>
      <w:r w:rsidR="00AC697F" w:rsidRPr="00AC697F">
        <w:rPr>
          <w:rFonts w:ascii="Century Gothic" w:eastAsia="Times New Roman" w:hAnsi="Century Gothic" w:cs="Times New Roman"/>
          <w:bCs/>
          <w:color w:val="60686B"/>
        </w:rPr>
        <w:t>,</w:t>
      </w:r>
      <w:r w:rsidR="00AB5B91">
        <w:rPr>
          <w:rFonts w:ascii="Century Gothic" w:eastAsia="Times New Roman" w:hAnsi="Century Gothic" w:cs="Times New Roman"/>
          <w:bCs/>
          <w:color w:val="60686B"/>
        </w:rPr>
        <w:t xml:space="preserve"> </w:t>
      </w:r>
      <w:r>
        <w:rPr>
          <w:rFonts w:ascii="Century Gothic" w:eastAsia="Times New Roman" w:hAnsi="Century Gothic" w:cs="Times New Roman"/>
          <w:bCs/>
          <w:color w:val="60686B"/>
        </w:rPr>
        <w:t>et. Al,</w:t>
      </w:r>
      <w:r w:rsidR="00AC697F" w:rsidRPr="00AC697F">
        <w:rPr>
          <w:rFonts w:ascii="Century Gothic" w:eastAsia="Times New Roman" w:hAnsi="Century Gothic" w:cs="Times New Roman"/>
          <w:bCs/>
          <w:color w:val="60686B"/>
        </w:rPr>
        <w:t xml:space="preserve"> United States Court for District of Arizona No. CV-12-00601-PHX-ROS </w:t>
      </w:r>
      <w:r w:rsidR="00AC697F">
        <w:rPr>
          <w:rFonts w:ascii="Century Gothic" w:eastAsia="Times New Roman" w:hAnsi="Century Gothic" w:cs="Times New Roman"/>
          <w:bCs/>
          <w:color w:val="60686B"/>
        </w:rPr>
        <w:t>(report</w:t>
      </w:r>
      <w:r w:rsidR="00ED6781">
        <w:rPr>
          <w:rFonts w:ascii="Century Gothic" w:eastAsia="Times New Roman" w:hAnsi="Century Gothic" w:cs="Times New Roman"/>
          <w:bCs/>
          <w:color w:val="60686B"/>
        </w:rPr>
        <w:t xml:space="preserve"> and trial testimony</w:t>
      </w:r>
      <w:r w:rsidR="00AC697F">
        <w:rPr>
          <w:rFonts w:ascii="Century Gothic" w:eastAsia="Times New Roman" w:hAnsi="Century Gothic" w:cs="Times New Roman"/>
          <w:bCs/>
          <w:color w:val="60686B"/>
        </w:rPr>
        <w:t xml:space="preserve"> for plaintiff)</w:t>
      </w:r>
    </w:p>
    <w:p w14:paraId="6EB05D74" w14:textId="3EBCF0CE" w:rsidR="000C200A" w:rsidRDefault="001A49BE" w:rsidP="0033355F">
      <w:pPr>
        <w:spacing w:before="100" w:beforeAutospacing="1" w:after="100" w:afterAutospacing="1"/>
        <w:rPr>
          <w:rFonts w:ascii="Century Gothic" w:eastAsia="Times New Roman" w:hAnsi="Century Gothic" w:cs="Times New Roman"/>
          <w:bCs/>
          <w:color w:val="60686B"/>
        </w:rPr>
      </w:pPr>
      <w:r w:rsidRPr="001A49BE">
        <w:rPr>
          <w:rFonts w:ascii="Century Gothic" w:eastAsia="Times New Roman" w:hAnsi="Century Gothic" w:cs="Times New Roman"/>
          <w:bCs/>
          <w:color w:val="60686B"/>
        </w:rPr>
        <w:br/>
      </w:r>
      <w:r w:rsidRPr="001A49BE">
        <w:rPr>
          <w:rFonts w:ascii="Century Gothic" w:eastAsia="Times New Roman" w:hAnsi="Century Gothic" w:cs="Times New Roman"/>
          <w:bCs/>
          <w:color w:val="60686B"/>
          <w:u w:val="single"/>
        </w:rPr>
        <w:t xml:space="preserve">STATE OF ALABAMA </w:t>
      </w:r>
      <w:r>
        <w:rPr>
          <w:rFonts w:ascii="Century Gothic" w:eastAsia="Times New Roman" w:hAnsi="Century Gothic" w:cs="Times New Roman"/>
          <w:bCs/>
          <w:color w:val="60686B"/>
          <w:u w:val="single"/>
        </w:rPr>
        <w:t>v</w:t>
      </w:r>
      <w:r w:rsidRPr="001A49BE">
        <w:rPr>
          <w:rFonts w:ascii="Century Gothic" w:eastAsia="Times New Roman" w:hAnsi="Century Gothic" w:cs="Times New Roman"/>
          <w:bCs/>
          <w:color w:val="60686B"/>
          <w:u w:val="single"/>
        </w:rPr>
        <w:t>. GARY DAVIS HART, II,</w:t>
      </w:r>
      <w:r>
        <w:rPr>
          <w:rFonts w:ascii="Century Gothic" w:eastAsia="Times New Roman" w:hAnsi="Century Gothic" w:cs="Times New Roman"/>
          <w:bCs/>
          <w:color w:val="60686B"/>
        </w:rPr>
        <w:t xml:space="preserve"> </w:t>
      </w:r>
      <w:r w:rsidRPr="001A49BE">
        <w:rPr>
          <w:rFonts w:ascii="Century Gothic" w:eastAsia="Times New Roman" w:hAnsi="Century Gothic" w:cs="Times New Roman"/>
          <w:bCs/>
          <w:color w:val="60686B"/>
        </w:rPr>
        <w:t>02-CC-1989-002737.62</w:t>
      </w:r>
      <w:r>
        <w:rPr>
          <w:rFonts w:ascii="Century Gothic" w:eastAsia="Times New Roman" w:hAnsi="Century Gothic" w:cs="Times New Roman"/>
          <w:bCs/>
          <w:color w:val="60686B"/>
        </w:rPr>
        <w:t xml:space="preserve"> Mobile County. (</w:t>
      </w:r>
      <w:r w:rsidR="009A4441">
        <w:rPr>
          <w:rFonts w:ascii="Century Gothic" w:eastAsia="Times New Roman" w:hAnsi="Century Gothic" w:cs="Times New Roman"/>
          <w:bCs/>
          <w:color w:val="60686B"/>
        </w:rPr>
        <w:t>Report</w:t>
      </w:r>
      <w:r>
        <w:rPr>
          <w:rFonts w:ascii="Century Gothic" w:eastAsia="Times New Roman" w:hAnsi="Century Gothic" w:cs="Times New Roman"/>
          <w:bCs/>
          <w:color w:val="60686B"/>
        </w:rPr>
        <w:t xml:space="preserve"> and resentencing hearing testimony for defendant)</w:t>
      </w:r>
    </w:p>
    <w:p w14:paraId="74E3BFB8" w14:textId="1E4E399A" w:rsidR="000423F6" w:rsidRPr="006404B6" w:rsidRDefault="000423F6" w:rsidP="0033355F">
      <w:pPr>
        <w:spacing w:before="100" w:beforeAutospacing="1" w:after="100" w:afterAutospacing="1"/>
        <w:rPr>
          <w:rFonts w:ascii="Century Gothic" w:eastAsia="Times New Roman" w:hAnsi="Century Gothic" w:cs="Times New Roman"/>
          <w:bCs/>
          <w:color w:val="60686B"/>
        </w:rPr>
      </w:pPr>
      <w:r w:rsidRPr="000423F6">
        <w:rPr>
          <w:rFonts w:ascii="Century Gothic" w:eastAsia="Times New Roman" w:hAnsi="Century Gothic" w:cs="Times New Roman"/>
          <w:bCs/>
          <w:color w:val="60686B"/>
          <w:u w:val="single"/>
        </w:rPr>
        <w:t>Williams v. Allegheny Co</w:t>
      </w:r>
      <w:r w:rsidRPr="00E14A52">
        <w:rPr>
          <w:rFonts w:ascii="Century Gothic" w:eastAsia="Times New Roman" w:hAnsi="Century Gothic" w:cs="Times New Roman"/>
          <w:bCs/>
          <w:color w:val="60686B"/>
          <w:u w:val="single"/>
        </w:rPr>
        <w:t>., Orlando Harper et. Al.,</w:t>
      </w:r>
      <w:r>
        <w:rPr>
          <w:rFonts w:ascii="Century Gothic" w:eastAsia="Times New Roman" w:hAnsi="Century Gothic" w:cs="Times New Roman"/>
          <w:bCs/>
          <w:color w:val="60686B"/>
        </w:rPr>
        <w:t xml:space="preserve"> Court of Common Pleas, Allegheny Co. (PA), Civil Division No. GD-178-13369 (report for plaintiff)</w:t>
      </w:r>
    </w:p>
    <w:p w14:paraId="006CE767" w14:textId="4DA3300E" w:rsidR="00F224AD" w:rsidRDefault="00F224AD" w:rsidP="006404B6">
      <w:pPr>
        <w:spacing w:before="100" w:beforeAutospacing="1" w:after="100" w:afterAutospacing="1"/>
        <w:rPr>
          <w:rFonts w:ascii="Century Gothic" w:eastAsia="Times New Roman" w:hAnsi="Century Gothic" w:cs="Times New Roman"/>
          <w:color w:val="60686B"/>
        </w:rPr>
      </w:pPr>
      <w:r w:rsidRPr="00F224AD">
        <w:rPr>
          <w:rFonts w:ascii="Century Gothic" w:eastAsia="Times New Roman" w:hAnsi="Century Gothic" w:cs="Times New Roman"/>
          <w:color w:val="60686B"/>
          <w:u w:val="single"/>
        </w:rPr>
        <w:t>PUBLIC ADMINISTRATOR OF THE COUNTY OF NASSAU, as Administrator of the Estate of EMANUEL McELVEEN, deceased, Plaintiff, v COUNTY OF NASSAU, COUNTY OF NASSAU CORRECTIONAL CENTER, NASSAU COUNTY SHERIFF'S DEPARTMENT, ARMOR CORRECTIONAL HEALTH SERVICES, INC. and ARMOR CORRECTIONAL HEALTH SERVICES OF NEW YORK, INC, Defendants</w:t>
      </w:r>
      <w:r>
        <w:rPr>
          <w:rFonts w:ascii="Century Gothic" w:eastAsia="Times New Roman" w:hAnsi="Century Gothic" w:cs="Times New Roman"/>
          <w:color w:val="60686B"/>
        </w:rPr>
        <w:t>.</w:t>
      </w:r>
      <w:r w:rsidRPr="00F224AD">
        <w:rPr>
          <w:rFonts w:ascii="Century Gothic" w:eastAsia="Times New Roman" w:hAnsi="Century Gothic" w:cs="Times New Roman"/>
          <w:color w:val="60686B"/>
        </w:rPr>
        <w:t xml:space="preserve"> UNITED STATES DISTRICT COURT Eastern District of New York 2:17-cv-05623 </w:t>
      </w:r>
      <w:r>
        <w:rPr>
          <w:rFonts w:ascii="Century Gothic" w:eastAsia="Times New Roman" w:hAnsi="Century Gothic" w:cs="Times New Roman"/>
          <w:color w:val="60686B"/>
        </w:rPr>
        <w:t>(report</w:t>
      </w:r>
      <w:r w:rsidR="00AF702E">
        <w:rPr>
          <w:rFonts w:ascii="Century Gothic" w:eastAsia="Times New Roman" w:hAnsi="Century Gothic" w:cs="Times New Roman"/>
          <w:color w:val="60686B"/>
        </w:rPr>
        <w:t>, testimony</w:t>
      </w:r>
      <w:r>
        <w:rPr>
          <w:rFonts w:ascii="Century Gothic" w:eastAsia="Times New Roman" w:hAnsi="Century Gothic" w:cs="Times New Roman"/>
          <w:color w:val="60686B"/>
        </w:rPr>
        <w:t xml:space="preserve"> for plaintiff)</w:t>
      </w:r>
    </w:p>
    <w:p w14:paraId="2FBFC3F8" w14:textId="353AA676" w:rsidR="00233FF8" w:rsidRDefault="00233FF8" w:rsidP="006404B6">
      <w:pPr>
        <w:spacing w:before="100" w:beforeAutospacing="1" w:after="100" w:afterAutospacing="1"/>
        <w:rPr>
          <w:rFonts w:ascii="Century Gothic" w:eastAsia="Times New Roman" w:hAnsi="Century Gothic" w:cs="Times New Roman"/>
          <w:color w:val="60686B"/>
          <w:u w:val="single"/>
        </w:rPr>
      </w:pPr>
      <w:r w:rsidRPr="00233FF8">
        <w:rPr>
          <w:rFonts w:ascii="Century Gothic" w:eastAsia="Times New Roman" w:hAnsi="Century Gothic" w:cs="Times New Roman"/>
          <w:color w:val="60686B"/>
          <w:u w:val="single"/>
        </w:rPr>
        <w:t>Gregory Joseph Perriera, Jr. v. Joseph Lopinto, III, et. al, United States Court, Eastern District of Louisiana, Civil Action No. 22-274</w:t>
      </w:r>
      <w:r>
        <w:rPr>
          <w:rFonts w:ascii="Century Gothic" w:eastAsia="Times New Roman" w:hAnsi="Century Gothic" w:cs="Times New Roman"/>
          <w:color w:val="60686B"/>
          <w:u w:val="single"/>
        </w:rPr>
        <w:t xml:space="preserve"> (report for plaintiff)</w:t>
      </w:r>
    </w:p>
    <w:p w14:paraId="7C610B61" w14:textId="04ADFEB1" w:rsidR="0046396F" w:rsidRDefault="0046396F" w:rsidP="0046396F">
      <w:pPr>
        <w:spacing w:before="100" w:beforeAutospacing="1" w:after="100" w:afterAutospacing="1"/>
        <w:rPr>
          <w:rFonts w:ascii="Century Gothic" w:eastAsia="Times New Roman" w:hAnsi="Century Gothic" w:cs="Times New Roman"/>
          <w:color w:val="60686B"/>
        </w:rPr>
      </w:pPr>
      <w:r w:rsidRPr="0046396F">
        <w:rPr>
          <w:rFonts w:ascii="Century Gothic" w:eastAsia="Times New Roman" w:hAnsi="Century Gothic" w:cs="Times New Roman"/>
          <w:color w:val="60686B"/>
          <w:u w:val="single"/>
        </w:rPr>
        <w:t xml:space="preserve">Estate of Elliot Naythan Funkhouser, Sr. By and Through Diane Marie Funkhouser Administrator, Plaintiff v. Delaware County, Geo Group, et. al, </w:t>
      </w:r>
      <w:r w:rsidRPr="0046396F">
        <w:rPr>
          <w:rFonts w:ascii="Century Gothic" w:eastAsia="Times New Roman" w:hAnsi="Century Gothic" w:cs="Times New Roman"/>
          <w:color w:val="60686B"/>
        </w:rPr>
        <w:t>United States District Court for the Eastern District of Pennsylvania, 2:24-cv-1091</w:t>
      </w:r>
      <w:r>
        <w:rPr>
          <w:rFonts w:ascii="Century Gothic" w:eastAsia="Times New Roman" w:hAnsi="Century Gothic" w:cs="Times New Roman"/>
          <w:color w:val="60686B"/>
        </w:rPr>
        <w:t xml:space="preserve">(report </w:t>
      </w:r>
      <w:r w:rsidR="00317E1E">
        <w:rPr>
          <w:rFonts w:ascii="Century Gothic" w:eastAsia="Times New Roman" w:hAnsi="Century Gothic" w:cs="Times New Roman"/>
          <w:color w:val="60686B"/>
        </w:rPr>
        <w:t xml:space="preserve">and deposition </w:t>
      </w:r>
      <w:r>
        <w:rPr>
          <w:rFonts w:ascii="Century Gothic" w:eastAsia="Times New Roman" w:hAnsi="Century Gothic" w:cs="Times New Roman"/>
          <w:color w:val="60686B"/>
        </w:rPr>
        <w:t>for Plaintiff)</w:t>
      </w:r>
    </w:p>
    <w:p w14:paraId="644C0C42" w14:textId="742D86A6" w:rsidR="003E3BC7" w:rsidRDefault="003E3BC7" w:rsidP="003E3BC7">
      <w:pPr>
        <w:spacing w:before="100" w:beforeAutospacing="1" w:after="100" w:afterAutospacing="1"/>
        <w:rPr>
          <w:rFonts w:ascii="Century Gothic" w:eastAsia="Times New Roman" w:hAnsi="Century Gothic" w:cs="Times New Roman"/>
          <w:color w:val="60686B"/>
        </w:rPr>
      </w:pPr>
      <w:r w:rsidRPr="003E3BC7">
        <w:rPr>
          <w:rFonts w:ascii="Century Gothic" w:eastAsia="Times New Roman" w:hAnsi="Century Gothic" w:cs="Times New Roman"/>
          <w:color w:val="60686B"/>
          <w:u w:val="single"/>
        </w:rPr>
        <w:lastRenderedPageBreak/>
        <w:t>Emanuel D. Fair, plaintiff, v. King County, et. Al</w:t>
      </w:r>
      <w:r w:rsidRPr="003E3BC7">
        <w:rPr>
          <w:rFonts w:ascii="Century Gothic" w:eastAsia="Times New Roman" w:hAnsi="Century Gothic" w:cs="Times New Roman"/>
          <w:color w:val="60686B"/>
        </w:rPr>
        <w:t>, United States District Court for the Western District of Washington at Seattle, 2:21-cv-01706-RSM</w:t>
      </w:r>
      <w:r>
        <w:rPr>
          <w:rFonts w:ascii="Century Gothic" w:eastAsia="Times New Roman" w:hAnsi="Century Gothic" w:cs="Times New Roman"/>
          <w:color w:val="60686B"/>
        </w:rPr>
        <w:t xml:space="preserve"> (report </w:t>
      </w:r>
      <w:r w:rsidR="00317E1E">
        <w:rPr>
          <w:rFonts w:ascii="Century Gothic" w:eastAsia="Times New Roman" w:hAnsi="Century Gothic" w:cs="Times New Roman"/>
          <w:color w:val="60686B"/>
        </w:rPr>
        <w:t xml:space="preserve">and deposition </w:t>
      </w:r>
      <w:r>
        <w:rPr>
          <w:rFonts w:ascii="Century Gothic" w:eastAsia="Times New Roman" w:hAnsi="Century Gothic" w:cs="Times New Roman"/>
          <w:color w:val="60686B"/>
        </w:rPr>
        <w:t>for plaintiff)</w:t>
      </w:r>
    </w:p>
    <w:p w14:paraId="1F535F11" w14:textId="10210C18" w:rsidR="00317E1E" w:rsidRPr="00CF1F6A" w:rsidRDefault="00AF702E" w:rsidP="006404B6">
      <w:pPr>
        <w:spacing w:before="100" w:beforeAutospacing="1" w:after="100" w:afterAutospacing="1"/>
        <w:rPr>
          <w:rFonts w:ascii="Century Gothic" w:eastAsia="Times New Roman" w:hAnsi="Century Gothic" w:cs="Times New Roman"/>
          <w:color w:val="60686B"/>
        </w:rPr>
      </w:pPr>
      <w:r w:rsidRPr="00AF702E">
        <w:rPr>
          <w:rFonts w:ascii="Century Gothic" w:eastAsia="Times New Roman" w:hAnsi="Century Gothic" w:cs="Times New Roman"/>
          <w:color w:val="60686B"/>
          <w:u w:val="single"/>
        </w:rPr>
        <w:t xml:space="preserve">The Estate of Antonio Bonaccorso v. Milwaukee County, </w:t>
      </w:r>
      <w:r w:rsidRPr="00AF702E">
        <w:rPr>
          <w:rFonts w:ascii="Century Gothic" w:eastAsia="Times New Roman" w:hAnsi="Century Gothic" w:cs="Times New Roman"/>
          <w:color w:val="60686B"/>
        </w:rPr>
        <w:t>United States Court, Eastern District of Wisconsin 24-cv-1528-pp</w:t>
      </w:r>
      <w:r>
        <w:rPr>
          <w:rFonts w:ascii="Century Gothic" w:eastAsia="Times New Roman" w:hAnsi="Century Gothic" w:cs="Times New Roman"/>
          <w:color w:val="60686B"/>
        </w:rPr>
        <w:t xml:space="preserve"> (report for plaintiff)</w:t>
      </w:r>
    </w:p>
    <w:p w14:paraId="4B2032EF" w14:textId="3698010C" w:rsidR="004F2326" w:rsidRPr="006404B6" w:rsidRDefault="0033355F" w:rsidP="006404B6">
      <w:pPr>
        <w:spacing w:before="100" w:beforeAutospacing="1" w:after="100" w:afterAutospacing="1"/>
        <w:rPr>
          <w:rFonts w:ascii="Century Gothic" w:eastAsia="Times New Roman" w:hAnsi="Century Gothic" w:cs="Times New Roman"/>
          <w:b/>
          <w:bCs/>
          <w:color w:val="60686B"/>
        </w:rPr>
      </w:pPr>
      <w:r w:rsidRPr="00736124">
        <w:rPr>
          <w:rFonts w:ascii="Century Gothic" w:eastAsia="Times New Roman" w:hAnsi="Century Gothic" w:cs="Times New Roman"/>
          <w:b/>
          <w:bCs/>
          <w:color w:val="60686B"/>
        </w:rPr>
        <w:t>DOMESTIC AND INTERNATIONAL CONSULTING</w:t>
      </w:r>
    </w:p>
    <w:p w14:paraId="2E7E9312" w14:textId="51F7AE95" w:rsidR="0033355F" w:rsidRPr="00736124" w:rsidRDefault="0033355F" w:rsidP="0033355F">
      <w:pPr>
        <w:pStyle w:val="ListParagraph"/>
        <w:numPr>
          <w:ilvl w:val="0"/>
          <w:numId w:val="1"/>
        </w:numPr>
        <w:spacing w:before="100" w:beforeAutospacing="1" w:after="100" w:afterAutospacing="1"/>
        <w:rPr>
          <w:rFonts w:ascii="Century Gothic" w:eastAsia="Times New Roman" w:hAnsi="Century Gothic" w:cs="Times New Roman"/>
          <w:sz w:val="24"/>
          <w:szCs w:val="24"/>
        </w:rPr>
      </w:pPr>
      <w:r w:rsidRPr="00736124">
        <w:rPr>
          <w:rFonts w:ascii="Century Gothic" w:eastAsia="Times New Roman" w:hAnsi="Century Gothic" w:cs="Times New Roman"/>
          <w:color w:val="60686B"/>
          <w:sz w:val="24"/>
          <w:szCs w:val="24"/>
        </w:rPr>
        <w:t xml:space="preserve">Morocco Juvenile Corrections Project- consultant to Government of Morocco through KeyPoint Government Solutions under their subcontract with BlueLaw International, as part of an initiative funded by the US State Department Bureau of International Narcotics and Law Enforcement Affairs. I assisted in the development of standards for Child Protection Centers, advised on creation of inspection services and provided training of their first inspectors. </w:t>
      </w:r>
    </w:p>
    <w:p w14:paraId="48DCDA34" w14:textId="77777777" w:rsidR="0033355F" w:rsidRPr="00736124" w:rsidRDefault="0033355F" w:rsidP="0033355F">
      <w:pPr>
        <w:numPr>
          <w:ilvl w:val="0"/>
          <w:numId w:val="1"/>
        </w:num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rPr>
        <w:t xml:space="preserve">Training consultant to the Federal Penitentiary Service United States of Mexico 2010-2012 </w:t>
      </w:r>
    </w:p>
    <w:p w14:paraId="5BABCD5D" w14:textId="77777777" w:rsidR="0033355F" w:rsidRPr="00736124" w:rsidRDefault="0033355F" w:rsidP="0033355F">
      <w:pPr>
        <w:numPr>
          <w:ilvl w:val="0"/>
          <w:numId w:val="1"/>
        </w:num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rPr>
        <w:t xml:space="preserve">Developed Corrections Needs Assessment Methodology for Inter- American Development Bank, Washington, D.C. November 2013. Contract purchase order 72524 </w:t>
      </w:r>
    </w:p>
    <w:p w14:paraId="68F245C5" w14:textId="69082393" w:rsidR="0033355F" w:rsidRDefault="0033355F" w:rsidP="0033355F">
      <w:pPr>
        <w:numPr>
          <w:ilvl w:val="0"/>
          <w:numId w:val="1"/>
        </w:num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rPr>
        <w:t xml:space="preserve">Consultant to Gartner Consulting 2012-2016 </w:t>
      </w:r>
    </w:p>
    <w:p w14:paraId="7849A92C" w14:textId="2BFECC1B" w:rsidR="005711CE" w:rsidRDefault="005711CE" w:rsidP="005711CE">
      <w:pPr>
        <w:numPr>
          <w:ilvl w:val="1"/>
          <w:numId w:val="1"/>
        </w:numPr>
        <w:spacing w:before="100" w:beforeAutospacing="1" w:after="100" w:afterAutospacing="1"/>
        <w:rPr>
          <w:rFonts w:ascii="Century Gothic" w:eastAsia="Times New Roman" w:hAnsi="Century Gothic" w:cs="Times New Roman"/>
          <w:color w:val="60686B"/>
        </w:rPr>
      </w:pPr>
      <w:r>
        <w:rPr>
          <w:rFonts w:ascii="Century Gothic" w:eastAsia="Times New Roman" w:hAnsi="Century Gothic" w:cs="Times New Roman"/>
          <w:color w:val="60686B"/>
        </w:rPr>
        <w:t>Las Vegas, Nev. Jail Management System Operational Assessment</w:t>
      </w:r>
    </w:p>
    <w:p w14:paraId="377A346B" w14:textId="52211CD1" w:rsidR="0075349F" w:rsidRPr="00D46434" w:rsidRDefault="00736124" w:rsidP="00D46434">
      <w:pPr>
        <w:numPr>
          <w:ilvl w:val="0"/>
          <w:numId w:val="1"/>
        </w:numPr>
        <w:spacing w:before="100" w:beforeAutospacing="1" w:after="100" w:afterAutospacing="1"/>
        <w:rPr>
          <w:rFonts w:ascii="Century Gothic" w:eastAsia="Times New Roman" w:hAnsi="Century Gothic" w:cs="Times New Roman"/>
          <w:color w:val="60686B"/>
        </w:rPr>
      </w:pPr>
      <w:r w:rsidRPr="00736124">
        <w:rPr>
          <w:rFonts w:ascii="Century Gothic" w:eastAsia="Times New Roman" w:hAnsi="Century Gothic" w:cs="Times New Roman"/>
          <w:color w:val="60686B"/>
        </w:rPr>
        <w:t xml:space="preserve">Correctional Education Centers, Delaware County PA, George W. Hill Correctional Facility-consultancy to evaluate </w:t>
      </w:r>
      <w:r w:rsidR="005711CE">
        <w:rPr>
          <w:rFonts w:ascii="Century Gothic" w:eastAsia="Times New Roman" w:hAnsi="Century Gothic" w:cs="Times New Roman"/>
          <w:color w:val="60686B"/>
        </w:rPr>
        <w:t>admission</w:t>
      </w:r>
      <w:r w:rsidRPr="00736124">
        <w:rPr>
          <w:rFonts w:ascii="Century Gothic" w:eastAsia="Times New Roman" w:hAnsi="Century Gothic" w:cs="Times New Roman"/>
          <w:color w:val="60686B"/>
        </w:rPr>
        <w:t xml:space="preserve"> and release procedures through KeyPoint Government Solutions 20</w:t>
      </w:r>
      <w:r w:rsidR="005711CE">
        <w:rPr>
          <w:rFonts w:ascii="Century Gothic" w:eastAsia="Times New Roman" w:hAnsi="Century Gothic" w:cs="Times New Roman"/>
          <w:color w:val="60686B"/>
        </w:rPr>
        <w:t>10</w:t>
      </w:r>
      <w:r w:rsidRPr="00736124">
        <w:rPr>
          <w:rFonts w:ascii="Century Gothic" w:eastAsia="Times New Roman" w:hAnsi="Century Gothic" w:cs="Times New Roman"/>
          <w:color w:val="60686B"/>
        </w:rPr>
        <w:t xml:space="preserve">. </w:t>
      </w:r>
    </w:p>
    <w:sectPr w:rsidR="0075349F" w:rsidRPr="00D46434">
      <w:footerReference w:type="even" r:id="rId9"/>
      <w:footerReference w:type="default" r:id="rId10"/>
      <w:head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880E" w14:textId="77777777" w:rsidR="00136323" w:rsidRDefault="00136323" w:rsidP="0033355F">
      <w:r>
        <w:separator/>
      </w:r>
    </w:p>
  </w:endnote>
  <w:endnote w:type="continuationSeparator" w:id="0">
    <w:p w14:paraId="359DE575" w14:textId="77777777" w:rsidR="00136323" w:rsidRDefault="00136323" w:rsidP="00333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55D2" w14:textId="77777777" w:rsidR="009214AD" w:rsidRDefault="004F70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42FC3E5E" w14:textId="77777777" w:rsidR="009214AD" w:rsidRDefault="009214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91A63" w14:textId="77777777" w:rsidR="009214AD" w:rsidRDefault="004F70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4BF601A9" w14:textId="77777777" w:rsidR="009214AD" w:rsidRDefault="009214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BF02D" w14:textId="77777777" w:rsidR="00136323" w:rsidRDefault="00136323" w:rsidP="0033355F">
      <w:r>
        <w:separator/>
      </w:r>
    </w:p>
  </w:footnote>
  <w:footnote w:type="continuationSeparator" w:id="0">
    <w:p w14:paraId="61A83205" w14:textId="77777777" w:rsidR="00136323" w:rsidRDefault="00136323" w:rsidP="00333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BA86" w14:textId="77777777" w:rsidR="009214AD" w:rsidRDefault="004F709D">
    <w:pPr>
      <w:pStyle w:val="Header"/>
    </w:pPr>
    <w:r>
      <w:t>Martin F. Horn</w:t>
    </w:r>
  </w:p>
  <w:p w14:paraId="0116E095" w14:textId="6DFE3A26" w:rsidR="009214AD" w:rsidRDefault="009A4441">
    <w:pPr>
      <w:pStyle w:val="Header"/>
    </w:pPr>
    <w:r>
      <w:t>5175 Chase Oaks Drive</w:t>
    </w:r>
  </w:p>
  <w:p w14:paraId="4D09BC84" w14:textId="4F1CF33A" w:rsidR="009A4441" w:rsidRDefault="009A4441">
    <w:pPr>
      <w:pStyle w:val="Header"/>
    </w:pPr>
    <w:r>
      <w:t>Sarasota, FL 34241</w:t>
    </w:r>
  </w:p>
  <w:p w14:paraId="694AE797" w14:textId="77777777" w:rsidR="0033355F" w:rsidRPr="0033355F" w:rsidRDefault="0033355F" w:rsidP="0033355F">
    <w:pPr>
      <w:pStyle w:val="Header"/>
    </w:pPr>
    <w:r w:rsidRPr="0033355F">
      <w:t xml:space="preserve">MFHORN626@YAHOO.COM </w:t>
    </w:r>
  </w:p>
  <w:p w14:paraId="6EB322CC" w14:textId="77777777" w:rsidR="0033355F" w:rsidRDefault="0033355F">
    <w:pPr>
      <w:pStyle w:val="Header"/>
    </w:pPr>
  </w:p>
  <w:p w14:paraId="65B269DA" w14:textId="77777777" w:rsidR="009214AD" w:rsidRDefault="00921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E1655"/>
    <w:multiLevelType w:val="multilevel"/>
    <w:tmpl w:val="F7B43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296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55F"/>
    <w:rsid w:val="000033BB"/>
    <w:rsid w:val="000423F6"/>
    <w:rsid w:val="000667E7"/>
    <w:rsid w:val="00096EEE"/>
    <w:rsid w:val="000A18AA"/>
    <w:rsid w:val="000C200A"/>
    <w:rsid w:val="0013045B"/>
    <w:rsid w:val="00130708"/>
    <w:rsid w:val="00136323"/>
    <w:rsid w:val="00152D12"/>
    <w:rsid w:val="001579D6"/>
    <w:rsid w:val="001A49BE"/>
    <w:rsid w:val="002008FE"/>
    <w:rsid w:val="00233FF8"/>
    <w:rsid w:val="002A489B"/>
    <w:rsid w:val="002D2FA6"/>
    <w:rsid w:val="003032BF"/>
    <w:rsid w:val="0031129B"/>
    <w:rsid w:val="00317E1E"/>
    <w:rsid w:val="0033355F"/>
    <w:rsid w:val="00352129"/>
    <w:rsid w:val="003B5407"/>
    <w:rsid w:val="003C719D"/>
    <w:rsid w:val="003E3BC7"/>
    <w:rsid w:val="0042711D"/>
    <w:rsid w:val="0046396F"/>
    <w:rsid w:val="004B408F"/>
    <w:rsid w:val="004F2326"/>
    <w:rsid w:val="004F709D"/>
    <w:rsid w:val="00504B9C"/>
    <w:rsid w:val="00524739"/>
    <w:rsid w:val="005259C6"/>
    <w:rsid w:val="00525C21"/>
    <w:rsid w:val="0057092F"/>
    <w:rsid w:val="005711CE"/>
    <w:rsid w:val="00594D5F"/>
    <w:rsid w:val="0059535F"/>
    <w:rsid w:val="005D790C"/>
    <w:rsid w:val="005E0518"/>
    <w:rsid w:val="005E1E61"/>
    <w:rsid w:val="005E6E74"/>
    <w:rsid w:val="005F1681"/>
    <w:rsid w:val="006404B6"/>
    <w:rsid w:val="006C2D24"/>
    <w:rsid w:val="00736124"/>
    <w:rsid w:val="00741D32"/>
    <w:rsid w:val="0075349F"/>
    <w:rsid w:val="0079491F"/>
    <w:rsid w:val="007E3E35"/>
    <w:rsid w:val="007E4526"/>
    <w:rsid w:val="007F5737"/>
    <w:rsid w:val="00842DBC"/>
    <w:rsid w:val="00846883"/>
    <w:rsid w:val="00886C54"/>
    <w:rsid w:val="008B37B2"/>
    <w:rsid w:val="009214AD"/>
    <w:rsid w:val="00946E35"/>
    <w:rsid w:val="00952764"/>
    <w:rsid w:val="00953195"/>
    <w:rsid w:val="00962D93"/>
    <w:rsid w:val="00963082"/>
    <w:rsid w:val="009A3F1D"/>
    <w:rsid w:val="009A4441"/>
    <w:rsid w:val="00A0114D"/>
    <w:rsid w:val="00A36023"/>
    <w:rsid w:val="00A435DC"/>
    <w:rsid w:val="00A55755"/>
    <w:rsid w:val="00A612FE"/>
    <w:rsid w:val="00A80551"/>
    <w:rsid w:val="00AB5B91"/>
    <w:rsid w:val="00AB75E6"/>
    <w:rsid w:val="00AC697F"/>
    <w:rsid w:val="00AF702E"/>
    <w:rsid w:val="00B57F2F"/>
    <w:rsid w:val="00B82926"/>
    <w:rsid w:val="00B977C2"/>
    <w:rsid w:val="00BF1E2E"/>
    <w:rsid w:val="00C17D44"/>
    <w:rsid w:val="00C62478"/>
    <w:rsid w:val="00CF1F6A"/>
    <w:rsid w:val="00D161F9"/>
    <w:rsid w:val="00D46434"/>
    <w:rsid w:val="00D5727B"/>
    <w:rsid w:val="00D65982"/>
    <w:rsid w:val="00E04182"/>
    <w:rsid w:val="00E14A52"/>
    <w:rsid w:val="00E1640F"/>
    <w:rsid w:val="00E52054"/>
    <w:rsid w:val="00ED6781"/>
    <w:rsid w:val="00F01FF5"/>
    <w:rsid w:val="00F12648"/>
    <w:rsid w:val="00F224AD"/>
    <w:rsid w:val="00F50F11"/>
    <w:rsid w:val="00F628C6"/>
    <w:rsid w:val="00FC0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5F52B"/>
  <w15:chartTrackingRefBased/>
  <w15:docId w15:val="{38043CD4-068D-3F42-95DC-5C5870EE5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55F"/>
    <w:rPr>
      <w:rFonts w:ascii="Cambria" w:eastAsiaTheme="minorEastAs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3355F"/>
    <w:pPr>
      <w:tabs>
        <w:tab w:val="center" w:pos="4320"/>
        <w:tab w:val="right" w:pos="8640"/>
      </w:tabs>
    </w:pPr>
  </w:style>
  <w:style w:type="character" w:customStyle="1" w:styleId="HeaderChar">
    <w:name w:val="Header Char"/>
    <w:basedOn w:val="DefaultParagraphFont"/>
    <w:link w:val="Header"/>
    <w:rsid w:val="0033355F"/>
    <w:rPr>
      <w:rFonts w:ascii="Cambria" w:eastAsiaTheme="minorEastAsia" w:hAnsi="Cambria"/>
    </w:rPr>
  </w:style>
  <w:style w:type="paragraph" w:styleId="Footer">
    <w:name w:val="footer"/>
    <w:basedOn w:val="Normal"/>
    <w:link w:val="FooterChar"/>
    <w:uiPriority w:val="99"/>
    <w:unhideWhenUsed/>
    <w:rsid w:val="0033355F"/>
    <w:pPr>
      <w:tabs>
        <w:tab w:val="center" w:pos="4320"/>
        <w:tab w:val="right" w:pos="8640"/>
      </w:tabs>
    </w:pPr>
  </w:style>
  <w:style w:type="character" w:customStyle="1" w:styleId="FooterChar">
    <w:name w:val="Footer Char"/>
    <w:basedOn w:val="DefaultParagraphFont"/>
    <w:link w:val="Footer"/>
    <w:uiPriority w:val="99"/>
    <w:rsid w:val="0033355F"/>
    <w:rPr>
      <w:rFonts w:ascii="Cambria" w:eastAsiaTheme="minorEastAsia" w:hAnsi="Cambria"/>
    </w:rPr>
  </w:style>
  <w:style w:type="character" w:styleId="PageNumber">
    <w:name w:val="page number"/>
    <w:basedOn w:val="DefaultParagraphFont"/>
    <w:uiPriority w:val="99"/>
    <w:semiHidden/>
    <w:unhideWhenUsed/>
    <w:rsid w:val="0033355F"/>
  </w:style>
  <w:style w:type="paragraph" w:styleId="ListParagraph">
    <w:name w:val="List Paragraph"/>
    <w:basedOn w:val="Normal"/>
    <w:uiPriority w:val="72"/>
    <w:qFormat/>
    <w:rsid w:val="0033355F"/>
    <w:pPr>
      <w:spacing w:after="200" w:line="276" w:lineRule="auto"/>
      <w:ind w:left="720"/>
      <w:contextualSpacing/>
    </w:pPr>
    <w:rPr>
      <w:rFonts w:asciiTheme="minorHAnsi" w:eastAsia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175151">
      <w:bodyDiv w:val="1"/>
      <w:marLeft w:val="0"/>
      <w:marRight w:val="0"/>
      <w:marTop w:val="0"/>
      <w:marBottom w:val="0"/>
      <w:divBdr>
        <w:top w:val="none" w:sz="0" w:space="0" w:color="auto"/>
        <w:left w:val="none" w:sz="0" w:space="0" w:color="auto"/>
        <w:bottom w:val="none" w:sz="0" w:space="0" w:color="auto"/>
        <w:right w:val="none" w:sz="0" w:space="0" w:color="auto"/>
      </w:divBdr>
      <w:divsChild>
        <w:div w:id="6829547">
          <w:marLeft w:val="0"/>
          <w:marRight w:val="0"/>
          <w:marTop w:val="0"/>
          <w:marBottom w:val="0"/>
          <w:divBdr>
            <w:top w:val="none" w:sz="0" w:space="0" w:color="auto"/>
            <w:left w:val="none" w:sz="0" w:space="0" w:color="auto"/>
            <w:bottom w:val="none" w:sz="0" w:space="0" w:color="auto"/>
            <w:right w:val="none" w:sz="0" w:space="0" w:color="auto"/>
          </w:divBdr>
          <w:divsChild>
            <w:div w:id="1517499239">
              <w:marLeft w:val="0"/>
              <w:marRight w:val="0"/>
              <w:marTop w:val="0"/>
              <w:marBottom w:val="0"/>
              <w:divBdr>
                <w:top w:val="none" w:sz="0" w:space="0" w:color="auto"/>
                <w:left w:val="none" w:sz="0" w:space="0" w:color="auto"/>
                <w:bottom w:val="none" w:sz="0" w:space="0" w:color="auto"/>
                <w:right w:val="none" w:sz="0" w:space="0" w:color="auto"/>
              </w:divBdr>
              <w:divsChild>
                <w:div w:id="111136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734937">
      <w:bodyDiv w:val="1"/>
      <w:marLeft w:val="0"/>
      <w:marRight w:val="0"/>
      <w:marTop w:val="0"/>
      <w:marBottom w:val="0"/>
      <w:divBdr>
        <w:top w:val="none" w:sz="0" w:space="0" w:color="auto"/>
        <w:left w:val="none" w:sz="0" w:space="0" w:color="auto"/>
        <w:bottom w:val="none" w:sz="0" w:space="0" w:color="auto"/>
        <w:right w:val="none" w:sz="0" w:space="0" w:color="auto"/>
      </w:divBdr>
      <w:divsChild>
        <w:div w:id="416094420">
          <w:marLeft w:val="0"/>
          <w:marRight w:val="0"/>
          <w:marTop w:val="0"/>
          <w:marBottom w:val="0"/>
          <w:divBdr>
            <w:top w:val="none" w:sz="0" w:space="0" w:color="auto"/>
            <w:left w:val="none" w:sz="0" w:space="0" w:color="auto"/>
            <w:bottom w:val="none" w:sz="0" w:space="0" w:color="auto"/>
            <w:right w:val="none" w:sz="0" w:space="0" w:color="auto"/>
          </w:divBdr>
          <w:divsChild>
            <w:div w:id="432630015">
              <w:marLeft w:val="0"/>
              <w:marRight w:val="0"/>
              <w:marTop w:val="0"/>
              <w:marBottom w:val="0"/>
              <w:divBdr>
                <w:top w:val="none" w:sz="0" w:space="0" w:color="auto"/>
                <w:left w:val="none" w:sz="0" w:space="0" w:color="auto"/>
                <w:bottom w:val="none" w:sz="0" w:space="0" w:color="auto"/>
                <w:right w:val="none" w:sz="0" w:space="0" w:color="auto"/>
              </w:divBdr>
              <w:divsChild>
                <w:div w:id="199067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68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2058</Words>
  <Characters>12477</Characters>
  <Application>Microsoft Office Word</Application>
  <DocSecurity>0</DocSecurity>
  <Lines>255</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horn</dc:creator>
  <cp:keywords/>
  <dc:description/>
  <cp:lastModifiedBy>Martin Horn</cp:lastModifiedBy>
  <cp:revision>2</cp:revision>
  <cp:lastPrinted>2022-03-31T20:59:00Z</cp:lastPrinted>
  <dcterms:created xsi:type="dcterms:W3CDTF">2026-04-22T16:06:00Z</dcterms:created>
  <dcterms:modified xsi:type="dcterms:W3CDTF">2026-04-22T16:06:00Z</dcterms:modified>
</cp:coreProperties>
</file>