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F512CC">
      <w:pPr>
        <w:pBdr>
          <w:bottom w:val="single" w:color="000000" w:sz="8" w:space="2"/>
        </w:pBdr>
        <w:shd w:val="clear" w:color="auto" w:fill="FFFFFF" w:themeFill="background1"/>
        <w:spacing w:before="0" w:beforeAutospacing="0" w:after="120" w:afterAutospacing="0"/>
        <w:ind w:left="0"/>
      </w:pPr>
      <w:bookmarkStart w:id="0" w:name="_GoBack"/>
      <w:bookmarkEnd w:id="0"/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557A7"/>
          <w:sz w:val="36"/>
          <w:szCs w:val="36"/>
          <w:u w:val="none"/>
          <w:lang w:val="en-US"/>
        </w:rPr>
        <w:t>Susan Pickman, PhD, CFE, CCI</w:t>
      </w:r>
    </w:p>
    <w:p w14:paraId="4CACCE09">
      <w:pPr>
        <w:shd w:val="clear" w:color="auto" w:fill="FFFFFF" w:themeFill="background1"/>
        <w:spacing w:before="0" w:beforeAutospacing="0" w:after="0" w:afterAutospacing="0"/>
        <w:ind w:left="0"/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 xml:space="preserve">+1 212 842 9676 | </w:t>
      </w:r>
      <w:r>
        <w:fldChar w:fldCharType="begin"/>
      </w:r>
      <w:r>
        <w:instrText xml:space="preserve"> HYPERLINK "mailto:susan.pickman@gmail.com" \h </w:instrText>
      </w:r>
      <w:r>
        <w:fldChar w:fldCharType="separate"/>
      </w:r>
      <w:r>
        <w:rPr>
          <w:rStyle w:val="4"/>
          <w:b w:val="0"/>
          <w:bCs w:val="0"/>
          <w:i w:val="0"/>
          <w:iCs w:val="0"/>
          <w:strike w:val="0"/>
          <w:dstrike w:val="0"/>
          <w:color w:val="1155CC"/>
          <w:u w:val="none"/>
          <w:lang w:val="en-US"/>
        </w:rPr>
        <w:t>susan.pickman@gmail.com</w:t>
      </w:r>
      <w:r>
        <w:rPr>
          <w:rStyle w:val="4"/>
          <w:b w:val="0"/>
          <w:bCs w:val="0"/>
          <w:i w:val="0"/>
          <w:iCs w:val="0"/>
          <w:strike w:val="0"/>
          <w:dstrike w:val="0"/>
          <w:color w:val="1155CC"/>
          <w:u w:val="none"/>
          <w:lang w:val="en-US"/>
        </w:rPr>
        <w:fldChar w:fldCharType="end"/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 xml:space="preserve"> | </w:t>
      </w:r>
      <w:r>
        <w:fldChar w:fldCharType="begin"/>
      </w:r>
      <w:r>
        <w:instrText xml:space="preserve"> HYPERLINK "https://www.tpg-global.com/" \h </w:instrText>
      </w:r>
      <w:r>
        <w:fldChar w:fldCharType="separate"/>
      </w:r>
      <w:r>
        <w:rPr>
          <w:rStyle w:val="4"/>
          <w:b w:val="0"/>
          <w:bCs w:val="0"/>
          <w:i w:val="0"/>
          <w:iCs w:val="0"/>
          <w:strike w:val="0"/>
          <w:dstrike w:val="0"/>
          <w:color w:val="1155CC"/>
          <w:u w:val="none"/>
          <w:lang w:val="en-US"/>
        </w:rPr>
        <w:t>https://www.tpg-global.com/</w:t>
      </w:r>
      <w:r>
        <w:rPr>
          <w:rStyle w:val="4"/>
          <w:b w:val="0"/>
          <w:bCs w:val="0"/>
          <w:i w:val="0"/>
          <w:iCs w:val="0"/>
          <w:strike w:val="0"/>
          <w:dstrike w:val="0"/>
          <w:color w:val="1155CC"/>
          <w:u w:val="none"/>
          <w:lang w:val="en-US"/>
        </w:rPr>
        <w:fldChar w:fldCharType="end"/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 xml:space="preserve"> </w:t>
      </w:r>
    </w:p>
    <w:p w14:paraId="4FFDDB47">
      <w:pPr>
        <w:pBdr>
          <w:bottom w:val="single" w:color="666666" w:sz="8" w:space="2"/>
        </w:pBdr>
        <w:shd w:val="clear" w:color="auto" w:fill="FFFFFF" w:themeFill="background1"/>
        <w:spacing w:before="240" w:beforeAutospacing="0" w:after="6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6"/>
          <w:szCs w:val="26"/>
          <w:u w:val="none"/>
          <w:lang w:val="en-US"/>
        </w:rPr>
        <w:t>Professional Summary</w:t>
      </w:r>
    </w:p>
    <w:p w14:paraId="33310185">
      <w:pPr>
        <w:shd w:val="clear" w:color="auto" w:fill="FFFFFF" w:themeFill="background1"/>
        <w:spacing w:before="0" w:beforeAutospacing="0" w:after="0" w:afterAutospacing="0"/>
        <w:ind w:left="0"/>
        <w:jc w:val="both"/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Highly skilled and accomplished professional with 15+ years of experience performing public/private sector investigations, teaching Police Science, Criminal Justice Administration and Security Management courses, and leading top-performing teams while possessing expertise in internal auditing and risk management. Background includes investigating county-wide professional misconduct cases, including fraud, discrimination, sexual harassment, and abuse of authority with professionalism and integrity. Adept at driving continuous improvements by finishing operational reviews to recommend policy/procedural changes and strengthening internal controls.</w:t>
      </w:r>
    </w:p>
    <w:p w14:paraId="43607384">
      <w:pPr>
        <w:pBdr>
          <w:bottom w:val="single" w:color="666666" w:sz="8" w:space="2"/>
        </w:pBdr>
        <w:shd w:val="clear" w:color="auto" w:fill="FFFFFF" w:themeFill="background1"/>
        <w:spacing w:before="200" w:beforeAutospacing="0" w:after="6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6"/>
          <w:szCs w:val="26"/>
          <w:u w:val="none"/>
          <w:lang w:val="en-US"/>
        </w:rPr>
        <w:t>Work Experience</w:t>
      </w:r>
    </w:p>
    <w:p w14:paraId="55996D08">
      <w:pPr>
        <w:shd w:val="clear" w:color="auto" w:fill="FFFFFF" w:themeFill="background1"/>
        <w:spacing w:before="8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John Jay College of Criminal Justice (CUNY) New York, NY | January 2007 – Present</w:t>
      </w:r>
    </w:p>
    <w:p w14:paraId="545FC735">
      <w:pPr>
        <w:shd w:val="clear" w:color="auto" w:fill="FFFFFF" w:themeFill="background1"/>
        <w:spacing w:before="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Doctoral Lecturer in Law, Police Science and Criminal Justice Administration</w:t>
      </w:r>
    </w:p>
    <w:p w14:paraId="7B177807">
      <w:pPr>
        <w:shd w:val="clear" w:color="auto" w:fill="FFFFFF" w:themeFill="background1"/>
        <w:spacing w:before="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Director, MS in Security Management</w:t>
      </w:r>
    </w:p>
    <w:p w14:paraId="5B816597">
      <w:pPr>
        <w:pStyle w:val="5"/>
        <w:numPr>
          <w:ilvl w:val="0"/>
          <w:numId w:val="1"/>
        </w:numPr>
        <w:spacing w:before="40" w:beforeAutospacing="0" w:after="0" w:afterAutospacing="0"/>
        <w:ind w:left="0" w:right="0" w:hanging="36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Deliver engaging lectures and teach courses within public safety and justice disciplines, focusing on increasing student interest, fostering critical thinking, and driving professional competency and positive learning outcomes.</w:t>
      </w:r>
    </w:p>
    <w:p w14:paraId="4CFF1809">
      <w:pPr>
        <w:pStyle w:val="5"/>
        <w:numPr>
          <w:ilvl w:val="0"/>
          <w:numId w:val="1"/>
        </w:numPr>
        <w:spacing w:before="40" w:beforeAutospacing="0" w:after="0" w:afterAutospacing="0"/>
        <w:ind w:left="0" w:right="0" w:hanging="36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Taught a wide range of courses, including The Patrol Function, Investigative Function, Police Administration, Community Policing, and Cybervices to enhance students' understanding of core law enforcement practices, and Security Practices</w:t>
      </w:r>
    </w:p>
    <w:p w14:paraId="26EFD91E">
      <w:pPr>
        <w:pStyle w:val="5"/>
        <w:numPr>
          <w:ilvl w:val="0"/>
          <w:numId w:val="1"/>
        </w:numPr>
        <w:spacing w:before="40" w:beforeAutospacing="0" w:after="0" w:afterAutospacing="0"/>
        <w:ind w:left="0" w:right="0" w:hanging="36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Promoted constructive discussions regarding security and justice issues while teaching courses, such as Maritime Security, Introduction to Corrections, and Gender, Race, and Ethnicity in Latina/o Studies</w:t>
      </w:r>
    </w:p>
    <w:p w14:paraId="1B835EA1">
      <w:pPr>
        <w:shd w:val="clear" w:color="auto" w:fill="FFFFFF" w:themeFill="background1"/>
        <w:spacing w:before="8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The Pickman Group, LLC | New York, NY | August 2004 – Present</w:t>
      </w:r>
    </w:p>
    <w:p w14:paraId="5FCC9112">
      <w:pPr>
        <w:shd w:val="clear" w:color="auto" w:fill="FFFFFF" w:themeFill="background1"/>
        <w:spacing w:before="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 xml:space="preserve">President </w:t>
      </w:r>
    </w:p>
    <w:p w14:paraId="27CE79B7">
      <w:pPr>
        <w:shd w:val="clear" w:color="auto" w:fill="FFFFFF" w:themeFill="background1"/>
        <w:spacing w:before="0" w:beforeAutospacing="0" w:after="0" w:afterAutospacing="0"/>
        <w:ind w:left="0"/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Assess many legal, financial, or investigative cases to determine case validity, the strength of evidence, or the likelihood of success in court or other legal proceedings</w:t>
      </w:r>
    </w:p>
    <w:p w14:paraId="4DAE7810">
      <w:pPr>
        <w:pStyle w:val="5"/>
        <w:numPr>
          <w:ilvl w:val="0"/>
          <w:numId w:val="2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Provide witness services to a variety of clients, including businesses, government agencies, law firms, and accounting firms by emphasizing quality services, innovative strategies, and utmost integrity for all cases</w:t>
      </w:r>
    </w:p>
    <w:p w14:paraId="3473B3F4">
      <w:pPr>
        <w:pStyle w:val="5"/>
        <w:numPr>
          <w:ilvl w:val="0"/>
          <w:numId w:val="2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Conduct internal fraud investigations by analyzing financial records and employee transactions, enabling the identification of misappropriated funds and the implementation of corrective actions</w:t>
      </w:r>
    </w:p>
    <w:p w14:paraId="177DCEF5">
      <w:pPr>
        <w:pStyle w:val="5"/>
        <w:numPr>
          <w:ilvl w:val="0"/>
          <w:numId w:val="2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Offer comprehensive litigation support, fraud examinations, and professional misconduct investigations through expert analysis and recommendations</w:t>
      </w:r>
    </w:p>
    <w:p w14:paraId="7A4316C8">
      <w:pPr>
        <w:pStyle w:val="5"/>
        <w:numPr>
          <w:ilvl w:val="0"/>
          <w:numId w:val="2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Court-qualified expert witness in excessive use of force in police and corrections, fraud, and genealogy</w:t>
      </w:r>
    </w:p>
    <w:p w14:paraId="6E13D3F5">
      <w:pPr>
        <w:pBdr>
          <w:bottom w:val="single" w:color="666666" w:sz="8" w:space="2"/>
        </w:pBdr>
        <w:shd w:val="clear" w:color="auto" w:fill="FFFFFF" w:themeFill="background1"/>
        <w:spacing w:before="200" w:beforeAutospacing="0" w:after="6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6"/>
          <w:szCs w:val="26"/>
          <w:u w:val="none"/>
          <w:lang w:val="en-US"/>
        </w:rPr>
        <w:t>Additional Experience</w:t>
      </w:r>
    </w:p>
    <w:p w14:paraId="6BFDA5C3">
      <w:pPr>
        <w:shd w:val="clear" w:color="auto" w:fill="FFFFFF" w:themeFill="background1"/>
        <w:spacing w:before="8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Orange County Government | Manager of Professional Standards</w:t>
      </w:r>
    </w:p>
    <w:p w14:paraId="10CA28AE">
      <w:pPr>
        <w:pStyle w:val="5"/>
        <w:numPr>
          <w:ilvl w:val="0"/>
          <w:numId w:val="3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Performed impartial, county-wide investigations by creating and implementing a standardized background check system, reducing processing time</w:t>
      </w:r>
    </w:p>
    <w:p w14:paraId="6BD31FE3">
      <w:pPr>
        <w:pStyle w:val="5"/>
        <w:numPr>
          <w:ilvl w:val="0"/>
          <w:numId w:val="3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Investigated Section 8 housing fraud cases under HUD guidelines, identifying fraudulent activities and taking appropriate corrective actions to safeguard public resources</w:t>
      </w:r>
    </w:p>
    <w:p w14:paraId="6C932518">
      <w:pPr>
        <w:pStyle w:val="5"/>
        <w:numPr>
          <w:ilvl w:val="0"/>
          <w:numId w:val="3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Improved the hiring process by standardizing protocols and enhancing security measures through the creation of a county-wide system for conducting background checks</w:t>
      </w:r>
    </w:p>
    <w:p w14:paraId="0C164934">
      <w:pPr>
        <w:pStyle w:val="5"/>
        <w:numPr>
          <w:ilvl w:val="0"/>
          <w:numId w:val="3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Acted as an internal consultant for senior management, evaluating complex operations to recommend policy updates, procedural improvements, targeted training efforts, and stronger internal controls</w:t>
      </w:r>
    </w:p>
    <w:p w14:paraId="6C89758C">
      <w:pPr>
        <w:pStyle w:val="5"/>
        <w:numPr>
          <w:ilvl w:val="0"/>
          <w:numId w:val="3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Rendered strategic direction to a staff of 12 members while fostering collaboration and ensuring communication with appointed and elected officials at all levels in the Central Florida region</w:t>
      </w:r>
    </w:p>
    <w:p w14:paraId="333130ED">
      <w:pPr>
        <w:pStyle w:val="5"/>
        <w:numPr>
          <w:ilvl w:val="0"/>
          <w:numId w:val="3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 xml:space="preserve">Enforced strict legal compliance and maintained public safety </w:t>
      </w:r>
    </w:p>
    <w:p w14:paraId="4D2B3F66">
      <w:pPr>
        <w:ind w:left="0"/>
      </w:pPr>
    </w:p>
    <w:p w14:paraId="0723CB2A">
      <w:pPr>
        <w:spacing w:before="4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Orlando Police Department | Police Officer First Class/Program Evaluator</w:t>
      </w:r>
    </w:p>
    <w:p w14:paraId="49D6DC34">
      <w:pPr>
        <w:pStyle w:val="5"/>
        <w:numPr>
          <w:ilvl w:val="0"/>
          <w:numId w:val="4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Raised operational efficiency and compliance by finishing policy/procedural evaluation, training assessments, utilization analyses, and fiscal reviews for the Chief of Police within the Division of Professional Standards</w:t>
      </w:r>
    </w:p>
    <w:p w14:paraId="30D045D3">
      <w:pPr>
        <w:pStyle w:val="5"/>
        <w:numPr>
          <w:ilvl w:val="0"/>
          <w:numId w:val="4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Co-authored studies on key areas, including intelligence operations, forensic document examination, use of force protocols, training programs, police academy improvements, and inter-agency collaborations with the MBI</w:t>
      </w:r>
    </w:p>
    <w:p w14:paraId="7B64548E">
      <w:pPr>
        <w:pStyle w:val="5"/>
        <w:numPr>
          <w:ilvl w:val="0"/>
          <w:numId w:val="4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Analyzed department-wide staffing to optimize shift schedules/rotations, streamline departmental operations, and maximize resource utilization while creating a senior management promotion system for succession planning</w:t>
      </w:r>
    </w:p>
    <w:p w14:paraId="3A2427CB">
      <w:pPr>
        <w:pStyle w:val="5"/>
        <w:numPr>
          <w:ilvl w:val="0"/>
          <w:numId w:val="4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Completed investigations, street patrols, and departmental duties, including gathering evidence and responding to incidents as a sworn patrol officer with powers of arrest</w:t>
      </w:r>
    </w:p>
    <w:p w14:paraId="1C44895C">
      <w:pPr>
        <w:shd w:val="clear" w:color="auto" w:fill="FFFFFF" w:themeFill="background1"/>
        <w:spacing w:before="16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Stony Brook University | Grants Business Manager</w:t>
      </w:r>
    </w:p>
    <w:p w14:paraId="4D86C765">
      <w:pPr>
        <w:pStyle w:val="5"/>
        <w:numPr>
          <w:ilvl w:val="0"/>
          <w:numId w:val="5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Managed $40M in non-state appropriated funds from 125 diverse funding sources, including federal grants and contracts, ensuring financial compliance and strategic allocation of resources</w:t>
      </w:r>
    </w:p>
    <w:p w14:paraId="0C04CC00">
      <w:pPr>
        <w:pStyle w:val="5"/>
        <w:numPr>
          <w:ilvl w:val="0"/>
          <w:numId w:val="5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Spearheaded a staff of 10 and coordinated activities of 60 personnel across payroll, personnel, accounting, accounts payable, receivables, bursar, and purchasing functions to optimize financial operations</w:t>
      </w:r>
    </w:p>
    <w:p w14:paraId="525F56AB">
      <w:pPr>
        <w:pStyle w:val="5"/>
        <w:numPr>
          <w:ilvl w:val="0"/>
          <w:numId w:val="5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Protected the institution’s interests by representing the university in audit appeals while conducting pre-audit reviews, statistical/operational audits, and compliance assessments along with developing fraud and theft prevention systems</w:t>
      </w:r>
    </w:p>
    <w:p w14:paraId="2C15699A">
      <w:pPr>
        <w:pStyle w:val="5"/>
        <w:numPr>
          <w:ilvl w:val="0"/>
          <w:numId w:val="5"/>
        </w:numPr>
        <w:spacing w:before="40" w:beforeAutospacing="0" w:after="0" w:afterAutospacing="0"/>
        <w:ind w:left="0" w:right="0"/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Increased the operational functionality and synergy of the institute by turning several departments into cohesive and effective units, showcasing change management and transformative leadership expertise</w:t>
      </w:r>
    </w:p>
    <w:p w14:paraId="1FD17625">
      <w:pPr>
        <w:pBdr>
          <w:bottom w:val="single" w:color="666666" w:sz="8" w:space="2"/>
        </w:pBdr>
        <w:shd w:val="clear" w:color="auto" w:fill="FFFFFF" w:themeFill="background1"/>
        <w:spacing w:before="200" w:beforeAutospacing="0" w:after="6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6"/>
          <w:szCs w:val="26"/>
          <w:u w:val="none"/>
          <w:lang w:val="en-US"/>
        </w:rPr>
        <w:t>Skills</w:t>
      </w:r>
    </w:p>
    <w:p w14:paraId="4A3328BB">
      <w:pPr>
        <w:shd w:val="clear" w:color="auto" w:fill="FFFFFF" w:themeFill="background1"/>
        <w:spacing w:before="40" w:beforeAutospacing="0" w:after="0" w:afterAutospacing="0"/>
        <w:ind w:left="0"/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Investigations, Fraud Examination, Academic Instruction, Security &amp; Emergency Management, Public Safety, Leadership, Law Enforcement, Internal Auditing, Risk Management, Grant Writing, Regulatory Compliance, Process Improvement</w:t>
      </w:r>
    </w:p>
    <w:p w14:paraId="68E0DDFA">
      <w:pPr>
        <w:pBdr>
          <w:bottom w:val="single" w:color="666666" w:sz="8" w:space="2"/>
        </w:pBdr>
        <w:shd w:val="clear" w:color="auto" w:fill="FFFFFF" w:themeFill="background1"/>
        <w:spacing w:before="200" w:beforeAutospacing="0" w:after="6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6"/>
          <w:szCs w:val="26"/>
          <w:u w:val="none"/>
          <w:lang w:val="en-US"/>
        </w:rPr>
        <w:t>Education</w:t>
      </w:r>
    </w:p>
    <w:p w14:paraId="3220D7CB">
      <w:pPr>
        <w:shd w:val="clear" w:color="auto" w:fill="FFFFFF" w:themeFill="background1"/>
        <w:spacing w:before="4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 xml:space="preserve">Ph.D. in Latin American History (with honors) 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| Stony Brook University</w:t>
      </w:r>
    </w:p>
    <w:p w14:paraId="34B32F9A">
      <w:pPr>
        <w:shd w:val="clear" w:color="auto" w:fill="FFFFFF" w:themeFill="background1"/>
        <w:spacing w:before="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 xml:space="preserve">Master of Arts in Political Science 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| Long Island University</w:t>
      </w:r>
    </w:p>
    <w:p w14:paraId="4582586D">
      <w:pPr>
        <w:shd w:val="clear" w:color="auto" w:fill="FFFFFF" w:themeFill="background1"/>
        <w:spacing w:before="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Bachelor of Arts in Social Sciences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 xml:space="preserve"> | New College at Hofstra University</w:t>
      </w:r>
    </w:p>
    <w:p w14:paraId="0B1FB7D3">
      <w:pPr>
        <w:pBdr>
          <w:bottom w:val="single" w:color="666666" w:sz="8" w:space="2"/>
        </w:pBdr>
        <w:shd w:val="clear" w:color="auto" w:fill="FFFFFF" w:themeFill="background1"/>
        <w:spacing w:before="200" w:beforeAutospacing="0" w:after="6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6"/>
          <w:szCs w:val="26"/>
          <w:u w:val="none"/>
          <w:lang w:val="en-US"/>
        </w:rPr>
        <w:t>Publications &amp; Research</w:t>
      </w:r>
    </w:p>
    <w:p w14:paraId="36333A57">
      <w:pPr>
        <w:spacing w:before="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Pickman, S. L. (2026).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</w:t>
      </w:r>
      <w:r>
        <w:rPr>
          <w:rFonts w:ascii="Arial" w:hAnsi="Arial" w:eastAsia="Arial" w:cs="Arial"/>
          <w:b w:val="0"/>
          <w:bCs w:val="0"/>
          <w:i/>
          <w:iCs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Life on the Spanish American Colonial Frontier: A Study in the Social and Economic History of Mid-18th Century St. Augustine, Florida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. Archway Publishing. (ISBN: 978-1665712345).</w:t>
      </w:r>
    </w:p>
    <w:p w14:paraId="0E6CDD74">
      <w:pPr>
        <w:spacing w:before="8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Pickman, S. L. (2020).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"Background Investigations." In C. P. Nemeth, </w:t>
      </w:r>
      <w:r>
        <w:rPr>
          <w:rFonts w:ascii="Arial" w:hAnsi="Arial" w:eastAsia="Arial" w:cs="Arial"/>
          <w:b w:val="0"/>
          <w:bCs w:val="0"/>
          <w:i/>
          <w:iCs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Private Security and the Investigative Process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(4th ed.). CRC Press.</w:t>
      </w:r>
    </w:p>
    <w:p w14:paraId="2FF9863C">
      <w:pPr>
        <w:spacing w:before="8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Pickman, S. L. (2019).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"Integrity." In C. Binns &amp; B. Sackman (Eds.), </w:t>
      </w:r>
      <w:r>
        <w:rPr>
          <w:rFonts w:ascii="Arial" w:hAnsi="Arial" w:eastAsia="Arial" w:cs="Arial"/>
          <w:b w:val="0"/>
          <w:bCs w:val="0"/>
          <w:i/>
          <w:iCs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The Art of Private Investigation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. CRC Press.</w:t>
      </w:r>
    </w:p>
    <w:p w14:paraId="15CDB6E4">
      <w:pPr>
        <w:spacing w:before="8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Pickman, S., &amp; Howard, L. A. (2020).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"Coast Guard Interdictions and the Use of Advanced Technology by Adversaries." </w:t>
      </w:r>
      <w:r>
        <w:rPr>
          <w:rFonts w:ascii="Arial" w:hAnsi="Arial" w:eastAsia="Arial" w:cs="Arial"/>
          <w:b w:val="0"/>
          <w:bCs w:val="0"/>
          <w:i/>
          <w:iCs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American Journal of Engineering and Technology Management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, 5(6), 96–102.</w:t>
      </w:r>
    </w:p>
    <w:p w14:paraId="67493168">
      <w:pPr>
        <w:spacing w:before="8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Shapiro, L. R., Maras, M.-H., Velotti, L., Pickman, S., Wei, H.-L., &amp; Till, R. (2018).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"Trojan Horse Risks in the Maritime Transportation Systems Sector." </w:t>
      </w:r>
      <w:r>
        <w:rPr>
          <w:rFonts w:ascii="Arial" w:hAnsi="Arial" w:eastAsia="Arial" w:cs="Arial"/>
          <w:b w:val="0"/>
          <w:bCs w:val="0"/>
          <w:i/>
          <w:iCs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Journal of Transportation Security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, 11(3-4), 65–83.</w:t>
      </w:r>
    </w:p>
    <w:p w14:paraId="4DCDF4F6">
      <w:pPr>
        <w:spacing w:before="8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Pickman, S., Maras, M.-H., et al. (2018).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"Acceptable Risks in the Maritime Sector: Lessons for Security and Emergency Managers." </w:t>
      </w:r>
      <w:r>
        <w:rPr>
          <w:rFonts w:ascii="Arial" w:hAnsi="Arial" w:eastAsia="Arial" w:cs="Arial"/>
          <w:b w:val="0"/>
          <w:bCs w:val="0"/>
          <w:i/>
          <w:iCs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Security Management Magazine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.</w:t>
      </w:r>
    </w:p>
    <w:p w14:paraId="056D6E93">
      <w:pPr>
        <w:spacing w:before="8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Pickman, S. (2020).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"Private Detectives." In M.-H. Maras &amp; L. Shapiro (Eds.), </w:t>
      </w:r>
      <w:r>
        <w:rPr>
          <w:rFonts w:ascii="Arial" w:hAnsi="Arial" w:eastAsia="Arial" w:cs="Arial"/>
          <w:b w:val="0"/>
          <w:bCs w:val="0"/>
          <w:i/>
          <w:iCs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Encyclopedia of Security and Emergency Management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. Springer.</w:t>
      </w:r>
    </w:p>
    <w:p w14:paraId="65B2E504">
      <w:pPr>
        <w:spacing w:before="8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Pickman, S., &amp; Gilmore, D. R. (2006).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"St. Augustine Settlement." In V. L. Ruiz &amp; V. S. Korrol (Eds.), </w:t>
      </w:r>
      <w:r>
        <w:rPr>
          <w:rFonts w:ascii="Arial" w:hAnsi="Arial" w:eastAsia="Arial" w:cs="Arial"/>
          <w:b w:val="0"/>
          <w:bCs w:val="0"/>
          <w:i/>
          <w:iCs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Latinas in the United States: A Historical Encyclopedia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(pp. 654–657). Indiana University Press.</w:t>
      </w:r>
    </w:p>
    <w:p w14:paraId="3127097F">
      <w:pPr>
        <w:spacing w:before="8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Pickman, S., &amp; Velotti, L. (2018).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</w:t>
      </w:r>
      <w:r>
        <w:rPr>
          <w:rFonts w:ascii="Arial" w:hAnsi="Arial" w:eastAsia="Arial" w:cs="Arial"/>
          <w:b w:val="0"/>
          <w:bCs w:val="0"/>
          <w:i/>
          <w:iCs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US Coast Guard participation in Hurricane Harvey rapid response operations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. Emergency Management Conference, Scotland.</w:t>
      </w:r>
    </w:p>
    <w:p w14:paraId="7317FC29">
      <w:pPr>
        <w:spacing w:before="8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Pickman, S., &amp; Roberts, B. (2013).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 xml:space="preserve"> </w:t>
      </w:r>
      <w:r>
        <w:rPr>
          <w:rFonts w:ascii="Arial" w:hAnsi="Arial" w:eastAsia="Arial" w:cs="Arial"/>
          <w:b w:val="0"/>
          <w:bCs w:val="0"/>
          <w:i/>
          <w:iCs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Criminal justice programs in the United States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000000" w:themeColor="text1" w:themeTint="FF"/>
          <w:sz w:val="22"/>
          <w:szCs w:val="22"/>
          <w:u w:val="none"/>
          <w:lang w:val="en-US"/>
          <w14:textFill>
            <w14:solidFill>
              <w14:schemeClr w14:val="tx1">
                <w14:lumMod w14:val="100000"/>
                <w14:lumOff w14:val="0"/>
              </w14:schemeClr>
            </w14:solidFill>
          </w14:textFill>
        </w:rPr>
        <w:t>. Turkish High Council of Prosecutors and Judges Symposium, Antalya, Turkey.</w:t>
      </w:r>
    </w:p>
    <w:p w14:paraId="50412DB1">
      <w:pPr>
        <w:pBdr>
          <w:bottom w:val="single" w:color="666666" w:sz="8" w:space="2"/>
        </w:pBdr>
        <w:shd w:val="clear" w:color="auto" w:fill="FFFFFF" w:themeFill="background1"/>
        <w:spacing w:before="200" w:beforeAutospacing="0" w:after="6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6"/>
          <w:szCs w:val="26"/>
          <w:u w:val="none"/>
          <w:lang w:val="en-US"/>
        </w:rPr>
        <w:t>Certifications &amp; Credentials</w:t>
      </w:r>
    </w:p>
    <w:p w14:paraId="0C409A50">
      <w:pPr>
        <w:shd w:val="clear" w:color="auto" w:fill="FFFFFF" w:themeFill="background1"/>
        <w:spacing w:before="4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 xml:space="preserve">Certification in Educational Management 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| Harvard University Graduate School of Business</w:t>
      </w:r>
    </w:p>
    <w:p w14:paraId="7D7351C3">
      <w:pPr>
        <w:spacing w:before="4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 xml:space="preserve">Sworn Orlando Police Office First Class, JC Stone Memorial Police Academy </w:t>
      </w:r>
    </w:p>
    <w:p w14:paraId="56472E21">
      <w:pPr>
        <w:spacing w:before="4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Orange County Deputy Sheriff</w:t>
      </w:r>
    </w:p>
    <w:p w14:paraId="06A4E318">
      <w:pPr>
        <w:shd w:val="clear" w:color="auto" w:fill="FFFFFF" w:themeFill="background1"/>
        <w:spacing w:before="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Certificate in Management Training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 xml:space="preserve"> | NYS</w:t>
      </w:r>
    </w:p>
    <w:p w14:paraId="789527D2">
      <w:pPr>
        <w:shd w:val="clear" w:color="auto" w:fill="FFFFFF" w:themeFill="background1"/>
        <w:spacing w:before="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Certified Fraud Examiner (CFE)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, Present</w:t>
      </w:r>
    </w:p>
    <w:p w14:paraId="15B3A4B7">
      <w:pPr>
        <w:shd w:val="clear" w:color="auto" w:fill="FFFFFF" w:themeFill="background1"/>
        <w:spacing w:before="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Certified Cryptocurrency Investigator (CCI)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, Present</w:t>
      </w:r>
    </w:p>
    <w:p w14:paraId="5D4B99D2">
      <w:pPr>
        <w:pBdr>
          <w:bottom w:val="single" w:color="666666" w:sz="8" w:space="2"/>
        </w:pBdr>
        <w:shd w:val="clear" w:color="auto" w:fill="FFFFFF" w:themeFill="background1"/>
        <w:spacing w:before="200" w:beforeAutospacing="0" w:after="6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6"/>
          <w:szCs w:val="26"/>
          <w:u w:val="none"/>
          <w:lang w:val="en-US"/>
        </w:rPr>
        <w:t>Honors</w:t>
      </w:r>
    </w:p>
    <w:p w14:paraId="4048F3FF">
      <w:pPr>
        <w:shd w:val="clear" w:color="auto" w:fill="FFFFFF" w:themeFill="background1"/>
        <w:spacing w:before="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United States Coast Guard Auxiliary Sector New York Auxiliarist of the Year</w:t>
      </w: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, February 2015</w:t>
      </w:r>
    </w:p>
    <w:p w14:paraId="460620C9">
      <w:pPr>
        <w:shd w:val="clear" w:color="auto" w:fill="FFFFFF" w:themeFill="background1"/>
        <w:spacing w:before="0" w:beforeAutospacing="0" w:after="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Pi Gamma Mu, National Social Science Honor Society</w:t>
      </w:r>
    </w:p>
    <w:p w14:paraId="17BAA3CC">
      <w:pPr>
        <w:pBdr>
          <w:bottom w:val="single" w:color="666666" w:sz="8" w:space="2"/>
        </w:pBdr>
        <w:shd w:val="clear" w:color="auto" w:fill="FFFFFF" w:themeFill="background1"/>
        <w:spacing w:before="200" w:beforeAutospacing="0" w:after="60" w:afterAutospacing="0"/>
        <w:ind w:left="0"/>
      </w:pPr>
      <w:r>
        <w:rPr>
          <w:rFonts w:ascii="Arial" w:hAnsi="Arial" w:eastAsia="Arial" w:cs="Arial"/>
          <w:b/>
          <w:bCs/>
          <w:i w:val="0"/>
          <w:iCs w:val="0"/>
          <w:strike w:val="0"/>
          <w:dstrike w:val="0"/>
          <w:color w:val="212529"/>
          <w:sz w:val="26"/>
          <w:szCs w:val="26"/>
          <w:u w:val="none"/>
          <w:lang w:val="en-US"/>
        </w:rPr>
        <w:t>Languages</w:t>
      </w:r>
    </w:p>
    <w:p w14:paraId="2E1BEC15">
      <w:pPr>
        <w:shd w:val="clear" w:color="auto" w:fill="FFFFFF" w:themeFill="background1"/>
        <w:spacing w:before="40" w:beforeAutospacing="0" w:after="0" w:afterAutospacing="0"/>
        <w:ind w:left="0"/>
      </w:pPr>
      <w:r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color w:val="212529"/>
          <w:sz w:val="22"/>
          <w:szCs w:val="22"/>
          <w:u w:val="none"/>
          <w:lang w:val="en-US"/>
        </w:rPr>
        <w:t>English, Spanish (Conversational)</w:t>
      </w:r>
    </w:p>
    <w:p w14:paraId="6F15728A">
      <w:pPr>
        <w:ind w:left="0"/>
      </w:pPr>
    </w:p>
    <w:p w14:paraId="66413AE2">
      <w:pPr>
        <w:ind w:left="0"/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Aptos">
    <w:altName w:val="Helvetica Neue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9" w:lineRule="auto"/>
      </w:pPr>
      <w:r>
        <w:separator/>
      </w:r>
    </w:p>
  </w:footnote>
  <w:footnote w:type="continuationSeparator" w:id="1">
    <w:p>
      <w:pPr>
        <w:spacing w:before="0" w:after="0" w:line="27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FB0800"/>
    <w:multiLevelType w:val="multilevel"/>
    <w:tmpl w:val="02FB0800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2401140A"/>
    <w:multiLevelType w:val="multilevel"/>
    <w:tmpl w:val="2401140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5D373A8"/>
    <w:multiLevelType w:val="multilevel"/>
    <w:tmpl w:val="25D373A8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5EEB7D0E"/>
    <w:multiLevelType w:val="multilevel"/>
    <w:tmpl w:val="5EEB7D0E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7744AF31"/>
    <w:multiLevelType w:val="multilevel"/>
    <w:tmpl w:val="7744AF3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26EC63"/>
    <w:rsid w:val="2026EC63"/>
    <w:rsid w:val="2CA6C4D0"/>
    <w:rsid w:val="454997E4"/>
    <w:rsid w:val="51368581"/>
    <w:rsid w:val="F7FE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9" w:lineRule="auto"/>
    </w:pPr>
    <w:rPr>
      <w:rFonts w:asciiTheme="minorHAnsi" w:hAnsiTheme="minorHAnsi" w:eastAsiaTheme="minorEastAsia" w:cstheme="minorBidi"/>
      <w:sz w:val="24"/>
      <w:szCs w:val="24"/>
      <w:lang w:val="en-US" w:eastAsia="ja-JP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3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 xmlns="3e05afbd-a4b4-4aa4-843e-1d7317ea31d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ma:contentTypeName="Document" ma:versionID="24dad2a335801987248c575cdb5d1b63" ma:contentTypeID="0x0101001DF7470D38AA974BAF5EFA413201970B" ct:_="" ma:contentTypeDescription="Create a new document." ma:_="" ma:contentTypeScope="" ma:contentTypeVersion="4">
  <xsd:schema xmlns:xsd="http://www.w3.org/2001/XMLSchema" xmlns:xs="http://www.w3.org/2001/XMLSchema" xmlns:p="http://schemas.microsoft.com/office/2006/metadata/properties" xmlns:ns2="3e05afbd-a4b4-4aa4-843e-1d7317ea31df" ma:fieldsID="860535af0198b608544b52256038591c" targetNamespace="http://schemas.microsoft.com/office/2006/metadata/properties" ma:root="true" ns2:_="">
    <xsd:import namespace="3e05afbd-a4b4-4aa4-843e-1d7317ea31df"/>
    <xsd:element name="properties">
      <xsd:complexType>
        <xsd:sequence>
          <xsd:element name="documentManagement">
            <xsd:complexType>
              <xsd:all>
                <xsd:element minOccurs="0" ref="ns2:email"/>
                <xsd:element minOccurs="0" ref="ns2:MediaServiceMetadata"/>
                <xsd:element minOccurs="0" ref="ns2:MediaServiceFastMetadata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elementFormDefault="qualified" targetNamespace="3e05afbd-a4b4-4aa4-843e-1d7317ea31df">
    <xsd:import namespace="http://schemas.microsoft.com/office/2006/documentManagement/types"/>
    <xsd:import namespace="http://schemas.microsoft.com/office/infopath/2007/PartnerControls"/>
    <xsd:element name="email" nillable="true" ma:displayName="email" ma:internalName="email" ma:index="8">
      <xsd:simpleType>
        <xsd:restriction base="dms:Text"/>
      </xsd:simpleType>
    </xsd:element>
    <xsd:element name="MediaServiceMetadata" nillable="true" ma:displayName="MediaServiceMetadata" ma:internalName="MediaServiceMetadata" ma:index="9" ma:hidden="true" ma:readOnly="true">
      <xsd:simpleType>
        <xsd:restriction base="dms:Note"/>
      </xsd:simpleType>
    </xsd:element>
    <xsd:element name="MediaServiceFastMetadata" nillable="true" ma:displayName="MediaServiceFastMetadata" ma:internalName="MediaServiceFastMetadata" ma:index="10" ma:hidden="true" ma:readOnly="true">
      <xsd:simpleType>
        <xsd:restriction base="dms:Note"/>
      </xsd:simpleType>
    </xsd:element>
    <xsd:element name="MediaServiceSearchProperties" nillable="true" ma:displayName="MediaServiceSearchProperties" ma:internalName="MediaServiceSearchProperties" ma:index="11" ma:hidden="true" ma:readOnly="true">
      <xsd:simpleType>
        <xsd:restriction base="dms:Note"/>
      </xsd:simpleType>
    </xsd:element>
  </xsd:schema>
  <xsd:schema xmlns:xsd="http://www.w3.org/2001/XMLSchema" xmlns:dcterms="http://purl.org/dc/terms/" xmlns:odoc="http://schemas.microsoft.com/internal/obd" xmlns:xsi="http://www.w3.org/2001/XMLSchema-instance" xmlns="http://schemas.openxmlformats.org/package/2006/metadata/core-properties" xmlns:dc="http://purl.org/dc/elements/1.1/" elementFormDefault="qualified" targetNamespace="http://schemas.openxmlformats.org/package/2006/metadata/core-properties" blockDefault="#all" attributeFormDefault="unqualified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name="contentType" maxOccurs="1" minOccurs="0" type="xsd:string" ma:displayName="Content Type" ma:index="0"/>
        <xsd:element maxOccurs="1" minOccurs="0" ref="dc:title" ma:displayName="Title" ma:index="4"/>
        <xsd:element maxOccurs="1" minOccurs="0" ref="dc:subject"/>
        <xsd:element maxOccurs="1" minOccurs="0" ref="dc:description"/>
        <xsd:element name="keywords" maxOccurs="1" minOccurs="0" type="xsd:string"/>
        <xsd:element maxOccurs="1" minOccurs="0" ref="dc:language"/>
        <xsd:element name="category" maxOccurs="1" minOccurs="0" type="xsd:string"/>
        <xsd:element name="version" maxOccurs="1" minOccurs="0" type="xsd:string"/>
        <xsd:element name="revision" maxOccurs="1" minOccurs="0" type="xsd:string">
          <xsd:annotation>
            <xsd:documentation>
                        This value indicates the number of saves or revisions. The application is responsible for updating this value after each revision.
                    </xsd:documentation>
          </xsd:annotation>
        </xsd:element>
        <xsd:element name="lastModifiedBy" maxOccurs="1" minOccurs="0" type="xsd:string"/>
        <xsd:element maxOccurs="1" minOccurs="0" ref="dcterms:modified"/>
        <xsd:element name="contentStatus" maxOccurs="1" minOccurs="0" type="xsd:string"/>
      </xsd:all>
    </xsd:complexType>
  </xsd:schema>
  <xs:schema xmlns:xs="http://www.w3.org/2001/XMLSchema" xmlns:pc="http://schemas.microsoft.com/office/infopath/2007/PartnerControls" elementFormDefault="qualified" targetNamespace="http://schemas.microsoft.com/office/infopath/2007/PartnerControls" attributeFormDefault="unqualified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721B3E-3EA1-4F66-9740-A27935A83E8D}">
  <ds:schemaRefs/>
</ds:datastoreItem>
</file>

<file path=customXml/itemProps2.xml><?xml version="1.0" encoding="utf-8"?>
<ds:datastoreItem xmlns:ds="http://schemas.openxmlformats.org/officeDocument/2006/customXml" ds:itemID="{DDD1BBDE-05A1-4BDD-9A2B-7439157E1FE2}">
  <ds:schemaRefs/>
</ds:datastoreItem>
</file>

<file path=customXml/itemProps3.xml><?xml version="1.0" encoding="utf-8"?>
<ds:datastoreItem xmlns:ds="http://schemas.openxmlformats.org/officeDocument/2006/customXml" ds:itemID="{63BF1E7C-2BB1-43B5-B1BB-38E9A001E22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TotalTime>0</TotalTime>
  <ScaleCrop>false</ScaleCrop>
  <LinksUpToDate>false</LinksUpToDate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Pickman</dc:creator>
  <cp:lastModifiedBy>jasminerinde</cp:lastModifiedBy>
  <dcterms:modified xsi:type="dcterms:W3CDTF">2026-10-28T16:12:26Z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0x0101001DF7470D38AA974BAF5EFA413201970B</vt:lpwstr>
  </property>
  <property fmtid="{D5CDD505-2E9C-101B-9397-08002B2CF9AE}" pid="3" name="KSOProductBuildVer">
    <vt:lpwstr>1033-12.1.28496.28496</vt:lpwstr>
  </property>
  <property fmtid="{D5CDD505-2E9C-101B-9397-08002B2CF9AE}" pid="4" name="ICV">
    <vt:lpwstr>4B435CAE7D7E6B182A57E26AB7A93261_42</vt:lpwstr>
  </property>
</Properties>
</file>